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  <w:r>
        <w:rPr>
          <w:rStyle w:val="FontStyle158"/>
          <w:b w:val="0"/>
          <w:sz w:val="26"/>
          <w:szCs w:val="26"/>
        </w:rPr>
        <w:t xml:space="preserve">                                                                        </w:t>
      </w:r>
      <w:r w:rsidRPr="00632F7E">
        <w:rPr>
          <w:rStyle w:val="FontStyle158"/>
          <w:b w:val="0"/>
          <w:sz w:val="26"/>
          <w:szCs w:val="26"/>
        </w:rPr>
        <w:t xml:space="preserve">Додаток </w:t>
      </w:r>
      <w:r>
        <w:rPr>
          <w:rStyle w:val="FontStyle158"/>
          <w:b w:val="0"/>
          <w:sz w:val="26"/>
          <w:szCs w:val="26"/>
        </w:rPr>
        <w:t>3</w:t>
      </w:r>
      <w:r w:rsidRPr="00632F7E">
        <w:rPr>
          <w:rStyle w:val="FontStyle158"/>
          <w:b w:val="0"/>
          <w:sz w:val="26"/>
          <w:szCs w:val="26"/>
        </w:rPr>
        <w:t xml:space="preserve"> до заявки</w:t>
      </w:r>
      <w:r w:rsidRPr="00632F7E">
        <w:rPr>
          <w:rStyle w:val="FontStyle158"/>
          <w:b w:val="0"/>
          <w:sz w:val="26"/>
          <w:szCs w:val="26"/>
        </w:rPr>
        <w:br/>
      </w:r>
      <w:r w:rsidRPr="00632F7E">
        <w:rPr>
          <w:b/>
          <w:noProof/>
          <w:sz w:val="28"/>
          <w:szCs w:val="28"/>
        </w:rPr>
        <w:t xml:space="preserve">                                            </w:t>
      </w:r>
      <w:r w:rsidR="00417B0E">
        <w:rPr>
          <w:b/>
          <w:noProof/>
          <w:sz w:val="28"/>
          <w:szCs w:val="28"/>
        </w:rPr>
        <w:t xml:space="preserve">                            </w:t>
      </w:r>
      <w:r w:rsidRPr="00632F7E">
        <w:rPr>
          <w:noProof/>
          <w:sz w:val="28"/>
          <w:szCs w:val="28"/>
        </w:rPr>
        <w:t>на проведення закупівлі</w:t>
      </w:r>
    </w:p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Обґрунтування</w:t>
      </w:r>
    </w:p>
    <w:p w:rsidR="003971BA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технічних та якісних характеристик, очікуваної вартості</w:t>
      </w:r>
      <w:r w:rsidR="00570D54" w:rsidRPr="008A622D">
        <w:rPr>
          <w:b/>
          <w:bCs/>
          <w:sz w:val="28"/>
          <w:szCs w:val="28"/>
        </w:rPr>
        <w:t xml:space="preserve"> закупівлі</w:t>
      </w:r>
    </w:p>
    <w:p w:rsidR="00940C80" w:rsidRPr="008A622D" w:rsidRDefault="00940C80" w:rsidP="008A622D">
      <w:pPr>
        <w:pStyle w:val="Default"/>
        <w:jc w:val="center"/>
        <w:rPr>
          <w:sz w:val="28"/>
          <w:szCs w:val="28"/>
        </w:rPr>
      </w:pPr>
    </w:p>
    <w:p w:rsidR="008A622D" w:rsidRPr="008A622D" w:rsidRDefault="008A622D" w:rsidP="008A622D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A622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8A622D">
        <w:rPr>
          <w:rFonts w:ascii="Times New Roman" w:hAnsi="Times New Roman"/>
          <w:sz w:val="28"/>
          <w:szCs w:val="28"/>
          <w:lang w:eastAsia="uk-UA"/>
        </w:rPr>
        <w:t xml:space="preserve">ДК 025:2015 – </w:t>
      </w:r>
      <w:r w:rsidR="00F7786B" w:rsidRPr="00F7786B">
        <w:rPr>
          <w:rFonts w:ascii="Times New Roman" w:hAnsi="Times New Roman"/>
          <w:sz w:val="28"/>
          <w:szCs w:val="28"/>
          <w:lang w:eastAsia="uk-UA"/>
        </w:rPr>
        <w:t xml:space="preserve">35120000-1 Системи та пристрої нагляду та охорони </w:t>
      </w:r>
      <w:r w:rsidR="00417B0E" w:rsidRPr="00417B0E">
        <w:rPr>
          <w:rFonts w:ascii="Times New Roman" w:hAnsi="Times New Roman"/>
          <w:sz w:val="28"/>
          <w:szCs w:val="28"/>
          <w:lang w:eastAsia="uk-UA"/>
        </w:rPr>
        <w:t>(</w:t>
      </w:r>
      <w:r w:rsidR="0077434A">
        <w:rPr>
          <w:rFonts w:ascii="Times New Roman" w:hAnsi="Times New Roman"/>
          <w:sz w:val="28"/>
          <w:szCs w:val="28"/>
          <w:lang w:eastAsia="uk-UA"/>
        </w:rPr>
        <w:t>Комплексна</w:t>
      </w:r>
      <w:r w:rsidR="00F7786B" w:rsidRPr="00F7786B">
        <w:rPr>
          <w:rFonts w:ascii="Times New Roman" w:hAnsi="Times New Roman"/>
          <w:sz w:val="28"/>
          <w:szCs w:val="28"/>
          <w:lang w:eastAsia="uk-UA"/>
        </w:rPr>
        <w:t xml:space="preserve"> автоматизован</w:t>
      </w:r>
      <w:r w:rsidR="0077434A">
        <w:rPr>
          <w:rFonts w:ascii="Times New Roman" w:hAnsi="Times New Roman"/>
          <w:sz w:val="28"/>
          <w:szCs w:val="28"/>
          <w:lang w:eastAsia="uk-UA"/>
        </w:rPr>
        <w:t>а</w:t>
      </w:r>
      <w:r w:rsidR="00F7786B" w:rsidRPr="00F7786B">
        <w:rPr>
          <w:rFonts w:ascii="Times New Roman" w:hAnsi="Times New Roman"/>
          <w:sz w:val="28"/>
          <w:szCs w:val="28"/>
          <w:lang w:eastAsia="uk-UA"/>
        </w:rPr>
        <w:t xml:space="preserve"> систем</w:t>
      </w:r>
      <w:r w:rsidR="0077434A">
        <w:rPr>
          <w:rFonts w:ascii="Times New Roman" w:hAnsi="Times New Roman"/>
          <w:sz w:val="28"/>
          <w:szCs w:val="28"/>
          <w:lang w:eastAsia="uk-UA"/>
        </w:rPr>
        <w:t>а безпеки</w:t>
      </w:r>
      <w:r w:rsidR="00B32D33">
        <w:rPr>
          <w:rFonts w:ascii="Times New Roman" w:hAnsi="Times New Roman"/>
          <w:sz w:val="28"/>
          <w:szCs w:val="28"/>
          <w:lang w:eastAsia="uk-UA"/>
        </w:rPr>
        <w:t>)</w:t>
      </w:r>
    </w:p>
    <w:p w:rsidR="008A622D" w:rsidRPr="008A622D" w:rsidRDefault="008A622D" w:rsidP="008A622D">
      <w:pPr>
        <w:pStyle w:val="Default"/>
        <w:jc w:val="both"/>
        <w:rPr>
          <w:b/>
          <w:bCs/>
          <w:sz w:val="28"/>
          <w:szCs w:val="28"/>
        </w:rPr>
      </w:pPr>
    </w:p>
    <w:p w:rsidR="008A622D" w:rsidRPr="008A622D" w:rsidRDefault="008A622D" w:rsidP="008A622D">
      <w:pPr>
        <w:pStyle w:val="Default"/>
        <w:jc w:val="both"/>
        <w:rPr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 xml:space="preserve">На сьогодні стан системи безпеки підприємства (охорона периметру, відеоспостереження, інформаційна безпека, тощо) має ряд суттєвих недоліків, що в умовах військової агресії </w:t>
      </w:r>
      <w:proofErr w:type="spellStart"/>
      <w:r w:rsidRPr="00F7786B">
        <w:rPr>
          <w:sz w:val="28"/>
          <w:szCs w:val="28"/>
        </w:rPr>
        <w:t>рф</w:t>
      </w:r>
      <w:proofErr w:type="spellEnd"/>
      <w:r w:rsidRPr="00F7786B">
        <w:rPr>
          <w:sz w:val="28"/>
          <w:szCs w:val="28"/>
        </w:rPr>
        <w:t xml:space="preserve"> може призвести до непередбачуваних наслідків (втрата та пошкодження майна, диверсії, втрата (пошкодження) інформаційних ресурсів).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>Так захист периметру та території головного офісу УДЦР здійснюється із використанням інформаційних систем: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>- Системи контролю та управління доступом до будівель головного офісу УДЦР (СКУД);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>- Системи відеоспостереження території та будівель головного офісу УДЦР (СВТБ).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>Зазначені системи мають ряд недоліків: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>- система відеоспостереження не охоплює весь периметр головного офісу (існують «сірі» зони);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 xml:space="preserve">- СКУД має застарілий функціонал, що унеможливлює його інтеграцію з контролером домену, системами контролю робочого часу та системами </w:t>
      </w:r>
      <w:proofErr w:type="spellStart"/>
      <w:r w:rsidRPr="00F7786B">
        <w:rPr>
          <w:sz w:val="28"/>
          <w:szCs w:val="28"/>
        </w:rPr>
        <w:t>зберагіння</w:t>
      </w:r>
      <w:proofErr w:type="spellEnd"/>
      <w:r w:rsidRPr="00F7786B">
        <w:rPr>
          <w:sz w:val="28"/>
          <w:szCs w:val="28"/>
        </w:rPr>
        <w:t xml:space="preserve"> </w:t>
      </w:r>
      <w:proofErr w:type="spellStart"/>
      <w:r w:rsidRPr="00F7786B">
        <w:rPr>
          <w:sz w:val="28"/>
          <w:szCs w:val="28"/>
        </w:rPr>
        <w:t>логів</w:t>
      </w:r>
      <w:proofErr w:type="spellEnd"/>
      <w:r w:rsidRPr="00F7786B">
        <w:rPr>
          <w:sz w:val="28"/>
          <w:szCs w:val="28"/>
        </w:rPr>
        <w:t>;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>- облік робочого часу працівників (відпустки, лікарняні тощо) неможливо здійснювати та контролювати через існуючу СКУД (відсутність можливості інтеграції);</w:t>
      </w:r>
    </w:p>
    <w:p w:rsidR="00F7786B" w:rsidRPr="00F7786B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 xml:space="preserve">- проїзд автомобілів співробітників, представників контрагентів та комунальних служб регулюється видачею паперових перепусток та їх контролем охоронцем на КПП. Дотримання правил руху по території та використання зон паркування не </w:t>
      </w:r>
      <w:proofErr w:type="spellStart"/>
      <w:r w:rsidRPr="00F7786B">
        <w:rPr>
          <w:sz w:val="28"/>
          <w:szCs w:val="28"/>
        </w:rPr>
        <w:t>контролюєтсья</w:t>
      </w:r>
      <w:proofErr w:type="spellEnd"/>
      <w:r w:rsidRPr="00F7786B">
        <w:rPr>
          <w:sz w:val="28"/>
          <w:szCs w:val="28"/>
        </w:rPr>
        <w:t>. Дотримання встановленого маршруту для автомобілів комунальних служб не контролюється;</w:t>
      </w:r>
    </w:p>
    <w:p w:rsidR="008A1399" w:rsidRDefault="00F7786B" w:rsidP="00F7786B">
      <w:pPr>
        <w:pStyle w:val="Default"/>
        <w:ind w:firstLine="567"/>
        <w:jc w:val="both"/>
        <w:rPr>
          <w:sz w:val="28"/>
          <w:szCs w:val="28"/>
        </w:rPr>
      </w:pPr>
      <w:r w:rsidRPr="00F7786B">
        <w:rPr>
          <w:sz w:val="28"/>
          <w:szCs w:val="28"/>
        </w:rPr>
        <w:t>- контроль периметру (СОП) здійснюється шляхом патрулювання та візуального контролю (наявність сірих зон для системи відеоспостереження).</w:t>
      </w:r>
    </w:p>
    <w:p w:rsidR="00BF2211" w:rsidRPr="005B6C83" w:rsidRDefault="00BF2211" w:rsidP="00BF2211">
      <w:pPr>
        <w:pStyle w:val="a4"/>
        <w:tabs>
          <w:tab w:val="left" w:pos="993"/>
        </w:tabs>
        <w:spacing w:line="276" w:lineRule="auto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Метою</w:t>
      </w:r>
      <w:r w:rsidRPr="00BF2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закупівлі є </w:t>
      </w:r>
      <w:r w:rsidR="0077434A" w:rsidRPr="00774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створення на підприємстві системи безпеки, яка відповідатиме вимогам законодавства України, міжнародним стандартам й рекомендаціям та забезпечить захист об’єктів інфраструктури УДЦР </w:t>
      </w:r>
      <w:r w:rsidR="0077434A" w:rsidRPr="00774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 несанкціонованого проникнення на його територію, покращення оперативності реагування на загрози терористичного та диверсійного характеру, забезпечення дієвого контролю за переміщеннями персоналу та сторонніх осіб</w:t>
      </w:r>
      <w:r w:rsidR="0077434A" w:rsidRPr="00774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по території підприємства, так і в приміщеннях, а також </w:t>
      </w:r>
      <w:r w:rsidR="0077434A" w:rsidRPr="007743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захисту інформаційних ресурсів, збереження їх конфіденційності, цілісності та доступності</w:t>
      </w:r>
      <w:r w:rsidRPr="005B6C8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F2211" w:rsidRDefault="00BF2211" w:rsidP="00F7786B">
      <w:pPr>
        <w:pStyle w:val="Default"/>
        <w:ind w:firstLine="567"/>
        <w:jc w:val="both"/>
        <w:rPr>
          <w:sz w:val="28"/>
          <w:szCs w:val="28"/>
        </w:rPr>
      </w:pPr>
    </w:p>
    <w:p w:rsidR="008A622D" w:rsidRPr="008A622D" w:rsidRDefault="008A622D" w:rsidP="008A1399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B27CF5" w:rsidRDefault="008A622D" w:rsidP="00B27CF5">
      <w:pPr>
        <w:pStyle w:val="Default"/>
        <w:ind w:firstLine="567"/>
        <w:jc w:val="both"/>
        <w:rPr>
          <w:sz w:val="28"/>
          <w:szCs w:val="28"/>
        </w:rPr>
      </w:pPr>
      <w:r w:rsidRPr="008A622D">
        <w:rPr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B27CF5" w:rsidRPr="008A1399">
        <w:rPr>
          <w:sz w:val="28"/>
          <w:szCs w:val="28"/>
        </w:rPr>
        <w:t xml:space="preserve">Відповідно до інформації від постачальників таких послуг, </w:t>
      </w:r>
      <w:r w:rsidR="0097068C">
        <w:rPr>
          <w:sz w:val="28"/>
          <w:szCs w:val="28"/>
        </w:rPr>
        <w:t xml:space="preserve">вартість побудови такої системи орієнтовно </w:t>
      </w:r>
      <w:r w:rsidR="0097068C" w:rsidRPr="00A15D70">
        <w:rPr>
          <w:sz w:val="28"/>
          <w:szCs w:val="28"/>
        </w:rPr>
        <w:t xml:space="preserve">становить </w:t>
      </w:r>
      <w:r w:rsidR="0077434A" w:rsidRPr="00A15D70">
        <w:rPr>
          <w:sz w:val="28"/>
          <w:szCs w:val="28"/>
        </w:rPr>
        <w:t xml:space="preserve">22 250 000,00 </w:t>
      </w:r>
      <w:r w:rsidR="00B27CF5" w:rsidRPr="00A15D70">
        <w:rPr>
          <w:sz w:val="28"/>
          <w:szCs w:val="28"/>
        </w:rPr>
        <w:t>грн.</w:t>
      </w:r>
      <w:bookmarkStart w:id="0" w:name="_GoBack"/>
      <w:bookmarkEnd w:id="0"/>
    </w:p>
    <w:p w:rsidR="00000AC2" w:rsidRDefault="00000AC2" w:rsidP="008A622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7068C" w:rsidRPr="008A622D" w:rsidRDefault="0097068C" w:rsidP="008A622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88F" w:rsidRPr="008A622D" w:rsidRDefault="0097068C" w:rsidP="008A622D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8A622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4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4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Сергій СИРОВЕЦЬ</w:t>
      </w:r>
    </w:p>
    <w:p w:rsidR="00533DFC" w:rsidRPr="008A622D" w:rsidRDefault="00533DFC" w:rsidP="008A622D">
      <w:pPr>
        <w:rPr>
          <w:rFonts w:ascii="Times New Roman" w:hAnsi="Times New Roman"/>
          <w:sz w:val="28"/>
          <w:szCs w:val="28"/>
        </w:rPr>
      </w:pPr>
    </w:p>
    <w:sectPr w:rsidR="00533DFC" w:rsidRPr="008A62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94069"/>
    <w:rsid w:val="000A35BB"/>
    <w:rsid w:val="000B4A85"/>
    <w:rsid w:val="00186E0D"/>
    <w:rsid w:val="001B0993"/>
    <w:rsid w:val="00211240"/>
    <w:rsid w:val="0029614A"/>
    <w:rsid w:val="00297A64"/>
    <w:rsid w:val="002C1797"/>
    <w:rsid w:val="002E47B0"/>
    <w:rsid w:val="0036688F"/>
    <w:rsid w:val="003971BA"/>
    <w:rsid w:val="00407290"/>
    <w:rsid w:val="00417B0E"/>
    <w:rsid w:val="00432498"/>
    <w:rsid w:val="004716A4"/>
    <w:rsid w:val="004A0B41"/>
    <w:rsid w:val="005021DD"/>
    <w:rsid w:val="005119B0"/>
    <w:rsid w:val="00516593"/>
    <w:rsid w:val="00516D84"/>
    <w:rsid w:val="00533DFC"/>
    <w:rsid w:val="00567137"/>
    <w:rsid w:val="00570D54"/>
    <w:rsid w:val="005749A8"/>
    <w:rsid w:val="005767D8"/>
    <w:rsid w:val="00577ECC"/>
    <w:rsid w:val="00580EB6"/>
    <w:rsid w:val="005965BD"/>
    <w:rsid w:val="005B70CC"/>
    <w:rsid w:val="0061248D"/>
    <w:rsid w:val="0063109C"/>
    <w:rsid w:val="006A07FD"/>
    <w:rsid w:val="006F4E33"/>
    <w:rsid w:val="00724532"/>
    <w:rsid w:val="00734CA4"/>
    <w:rsid w:val="007506F5"/>
    <w:rsid w:val="0077434A"/>
    <w:rsid w:val="00774769"/>
    <w:rsid w:val="007D5EC3"/>
    <w:rsid w:val="00832CC1"/>
    <w:rsid w:val="00863145"/>
    <w:rsid w:val="008A1399"/>
    <w:rsid w:val="008A622D"/>
    <w:rsid w:val="008B13F4"/>
    <w:rsid w:val="008C2DE0"/>
    <w:rsid w:val="0092521C"/>
    <w:rsid w:val="00940C80"/>
    <w:rsid w:val="0097068C"/>
    <w:rsid w:val="009B0237"/>
    <w:rsid w:val="009D40BD"/>
    <w:rsid w:val="009E4BB7"/>
    <w:rsid w:val="009F1696"/>
    <w:rsid w:val="00A15D70"/>
    <w:rsid w:val="00A16AEB"/>
    <w:rsid w:val="00AA4347"/>
    <w:rsid w:val="00AF4E19"/>
    <w:rsid w:val="00B27CF5"/>
    <w:rsid w:val="00B32D33"/>
    <w:rsid w:val="00B95484"/>
    <w:rsid w:val="00BF2211"/>
    <w:rsid w:val="00C16BBB"/>
    <w:rsid w:val="00C26DE0"/>
    <w:rsid w:val="00C30359"/>
    <w:rsid w:val="00C6338F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7786B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35EF1-67A9-42F4-AED6-BC1E54B1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КОНДРАТЕНКО Владислав Леонідович</cp:lastModifiedBy>
  <cp:revision>4</cp:revision>
  <cp:lastPrinted>2021-10-13T08:19:00Z</cp:lastPrinted>
  <dcterms:created xsi:type="dcterms:W3CDTF">2023-10-04T11:41:00Z</dcterms:created>
  <dcterms:modified xsi:type="dcterms:W3CDTF">2023-11-28T08:06:00Z</dcterms:modified>
</cp:coreProperties>
</file>