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A7" w:rsidRDefault="005609A7" w:rsidP="005609A7">
      <w:pPr>
        <w:pStyle w:val="Default"/>
        <w:jc w:val="center"/>
        <w:rPr>
          <w:b/>
          <w:bCs/>
          <w:sz w:val="28"/>
          <w:szCs w:val="28"/>
        </w:rPr>
      </w:pPr>
      <w:r w:rsidRPr="003971BA">
        <w:rPr>
          <w:b/>
          <w:bCs/>
          <w:sz w:val="28"/>
          <w:szCs w:val="28"/>
        </w:rPr>
        <w:t>Обґрунтування</w:t>
      </w:r>
    </w:p>
    <w:p w:rsidR="005609A7" w:rsidRDefault="005609A7" w:rsidP="005609A7">
      <w:pPr>
        <w:pStyle w:val="Default"/>
        <w:jc w:val="center"/>
        <w:rPr>
          <w:b/>
          <w:bCs/>
          <w:sz w:val="28"/>
          <w:szCs w:val="28"/>
        </w:rPr>
      </w:pPr>
      <w:r w:rsidRPr="003971BA">
        <w:rPr>
          <w:b/>
          <w:bCs/>
          <w:sz w:val="28"/>
          <w:szCs w:val="28"/>
        </w:rPr>
        <w:t>технічних та якісних характеристик, очікуваної вартості</w:t>
      </w:r>
    </w:p>
    <w:p w:rsidR="005609A7" w:rsidRDefault="005609A7" w:rsidP="005609A7">
      <w:pPr>
        <w:pStyle w:val="Default"/>
        <w:jc w:val="center"/>
        <w:rPr>
          <w:b/>
          <w:bCs/>
          <w:sz w:val="28"/>
          <w:szCs w:val="28"/>
        </w:rPr>
      </w:pPr>
    </w:p>
    <w:p w:rsidR="005609A7" w:rsidRPr="003971BA" w:rsidRDefault="005609A7" w:rsidP="005609A7">
      <w:pPr>
        <w:widowControl w:val="0"/>
        <w:tabs>
          <w:tab w:val="left" w:pos="851"/>
        </w:tabs>
        <w:spacing w:after="120"/>
        <w:ind w:left="0"/>
        <w:jc w:val="both"/>
        <w:rPr>
          <w:rFonts w:ascii="Times New Roman" w:hAnsi="Times New Roman"/>
          <w:sz w:val="28"/>
          <w:szCs w:val="28"/>
        </w:rPr>
      </w:pPr>
      <w:r w:rsidRPr="003971BA">
        <w:rPr>
          <w:rFonts w:ascii="Times New Roman" w:hAnsi="Times New Roman"/>
          <w:b/>
          <w:bCs/>
          <w:sz w:val="28"/>
          <w:szCs w:val="28"/>
        </w:rPr>
        <w:t xml:space="preserve">Предмет закупівлі: </w:t>
      </w:r>
      <w:r w:rsidRPr="003971BA">
        <w:rPr>
          <w:rFonts w:ascii="Times New Roman" w:hAnsi="Times New Roman"/>
          <w:sz w:val="28"/>
          <w:szCs w:val="28"/>
        </w:rPr>
        <w:t xml:space="preserve">ДК 021:2015 </w:t>
      </w:r>
      <w:r w:rsidRPr="001D7891">
        <w:rPr>
          <w:rFonts w:ascii="Times New Roman" w:hAnsi="Times New Roman"/>
          <w:sz w:val="28"/>
          <w:szCs w:val="28"/>
        </w:rPr>
        <w:t xml:space="preserve">50310000-1 Технічне обслуговування і ремонт офісної техніки </w:t>
      </w:r>
      <w:r w:rsidRPr="003971BA">
        <w:rPr>
          <w:rFonts w:ascii="Times New Roman" w:hAnsi="Times New Roman"/>
          <w:sz w:val="28"/>
          <w:szCs w:val="28"/>
        </w:rPr>
        <w:t>(</w:t>
      </w:r>
      <w:r w:rsidRPr="001D7891">
        <w:rPr>
          <w:rFonts w:ascii="Times New Roman" w:eastAsiaTheme="minorHAnsi" w:hAnsi="Times New Roman"/>
          <w:b/>
          <w:color w:val="000000"/>
          <w:sz w:val="28"/>
          <w:szCs w:val="28"/>
        </w:rPr>
        <w:t>Технічне обслуговування і ремонт комп’ютерного обладнання</w:t>
      </w:r>
      <w:r>
        <w:rPr>
          <w:rFonts w:ascii="Times New Roman" w:hAnsi="Times New Roman"/>
          <w:sz w:val="28"/>
          <w:szCs w:val="28"/>
        </w:rPr>
        <w:t>)</w:t>
      </w:r>
      <w:r w:rsidRPr="003971BA">
        <w:rPr>
          <w:rFonts w:ascii="Times New Roman" w:hAnsi="Times New Roman"/>
          <w:sz w:val="28"/>
          <w:szCs w:val="28"/>
        </w:rPr>
        <w:t xml:space="preserve">. </w:t>
      </w:r>
    </w:p>
    <w:p w:rsidR="005609A7" w:rsidRPr="003971BA" w:rsidRDefault="005609A7" w:rsidP="005609A7">
      <w:pPr>
        <w:pStyle w:val="Default"/>
        <w:jc w:val="both"/>
        <w:rPr>
          <w:sz w:val="28"/>
          <w:szCs w:val="28"/>
        </w:rPr>
      </w:pPr>
      <w:r w:rsidRPr="003971BA">
        <w:rPr>
          <w:b/>
          <w:bCs/>
          <w:sz w:val="28"/>
          <w:szCs w:val="28"/>
        </w:rPr>
        <w:t xml:space="preserve">Технічні та якісні характеристики предмета закупівлі: </w:t>
      </w:r>
    </w:p>
    <w:p w:rsidR="005609A7" w:rsidRPr="001D7891" w:rsidRDefault="005609A7" w:rsidP="005609A7">
      <w:pPr>
        <w:widowControl w:val="0"/>
        <w:tabs>
          <w:tab w:val="left" w:pos="851"/>
        </w:tabs>
        <w:ind w:left="0" w:firstLine="851"/>
        <w:jc w:val="both"/>
        <w:rPr>
          <w:rFonts w:ascii="Times New Roman" w:eastAsia="Times New Roman" w:hAnsi="Times New Roman"/>
          <w:sz w:val="28"/>
          <w:szCs w:val="28"/>
          <w:lang w:eastAsia="ru-RU"/>
        </w:rPr>
      </w:pPr>
      <w:r w:rsidRPr="001D7891">
        <w:rPr>
          <w:rFonts w:ascii="Times New Roman" w:eastAsia="Times New Roman" w:hAnsi="Times New Roman"/>
          <w:sz w:val="28"/>
          <w:szCs w:val="28"/>
          <w:lang w:eastAsia="ru-RU"/>
        </w:rPr>
        <w:t xml:space="preserve">В головному офісі УДЦР на даний час використовується понад </w:t>
      </w:r>
      <w:r>
        <w:rPr>
          <w:rFonts w:ascii="Times New Roman" w:eastAsia="Times New Roman" w:hAnsi="Times New Roman"/>
          <w:sz w:val="28"/>
          <w:szCs w:val="28"/>
          <w:lang w:eastAsia="ru-RU"/>
        </w:rPr>
        <w:t xml:space="preserve">525 </w:t>
      </w:r>
      <w:r w:rsidRPr="001D7891">
        <w:rPr>
          <w:rFonts w:ascii="Times New Roman" w:eastAsia="Times New Roman" w:hAnsi="Times New Roman"/>
          <w:sz w:val="28"/>
          <w:szCs w:val="28"/>
          <w:lang w:eastAsia="ru-RU"/>
        </w:rPr>
        <w:t xml:space="preserve">персональних комп’ютерів та </w:t>
      </w:r>
      <w:r>
        <w:rPr>
          <w:rFonts w:ascii="Times New Roman" w:eastAsia="Times New Roman" w:hAnsi="Times New Roman"/>
          <w:sz w:val="28"/>
          <w:szCs w:val="28"/>
          <w:lang w:eastAsia="ru-RU"/>
        </w:rPr>
        <w:t xml:space="preserve">100 </w:t>
      </w:r>
      <w:r w:rsidRPr="001D7891">
        <w:rPr>
          <w:rFonts w:ascii="Times New Roman" w:eastAsia="Times New Roman" w:hAnsi="Times New Roman"/>
          <w:sz w:val="28"/>
          <w:szCs w:val="28"/>
          <w:lang w:eastAsia="ru-RU"/>
        </w:rPr>
        <w:t>ноутбуків. Їх термін експлуатації становить більше 3 років внаслідок чого вони не підлягаю</w:t>
      </w:r>
      <w:r>
        <w:rPr>
          <w:rFonts w:ascii="Times New Roman" w:eastAsia="Times New Roman" w:hAnsi="Times New Roman"/>
          <w:sz w:val="28"/>
          <w:szCs w:val="28"/>
          <w:lang w:eastAsia="ru-RU"/>
        </w:rPr>
        <w:t>ть</w:t>
      </w:r>
      <w:r w:rsidRPr="001D7891">
        <w:rPr>
          <w:rFonts w:ascii="Times New Roman" w:eastAsia="Times New Roman" w:hAnsi="Times New Roman"/>
          <w:sz w:val="28"/>
          <w:szCs w:val="28"/>
          <w:lang w:eastAsia="ru-RU"/>
        </w:rPr>
        <w:t xml:space="preserve"> під термін гарантійного обслуговування постачальником. З метою забезпечення їх працездатності та відновлення після виходу з ладу необхідно проводити технічне обслуговування та ремонт. </w:t>
      </w:r>
    </w:p>
    <w:p w:rsidR="005609A7" w:rsidRPr="001D7891" w:rsidRDefault="005609A7" w:rsidP="005609A7">
      <w:pPr>
        <w:widowControl w:val="0"/>
        <w:tabs>
          <w:tab w:val="left" w:pos="851"/>
        </w:tabs>
        <w:ind w:left="0" w:firstLine="851"/>
        <w:jc w:val="both"/>
        <w:rPr>
          <w:rFonts w:ascii="Times New Roman" w:eastAsia="Times New Roman" w:hAnsi="Times New Roman"/>
          <w:sz w:val="28"/>
          <w:szCs w:val="28"/>
          <w:lang w:eastAsia="ru-RU"/>
        </w:rPr>
      </w:pPr>
      <w:r w:rsidRPr="001D7891">
        <w:rPr>
          <w:rFonts w:ascii="Times New Roman" w:eastAsia="Times New Roman" w:hAnsi="Times New Roman"/>
          <w:sz w:val="28"/>
          <w:szCs w:val="28"/>
          <w:lang w:eastAsia="ru-RU"/>
        </w:rPr>
        <w:t>Закупівля послуг технічного обслуговування та ремонту комп’ютерного обладнання повинне забезпечити працездатність технічних засобів у стані, який характеризується їх здатністю виконувати усі функції, що передбачені експлуатаційною документацією виробника. Технічне обслуговування та ремонт включає в себе :</w:t>
      </w:r>
    </w:p>
    <w:p w:rsidR="005609A7" w:rsidRPr="001D7891" w:rsidRDefault="005609A7" w:rsidP="005609A7">
      <w:pPr>
        <w:widowControl w:val="0"/>
        <w:tabs>
          <w:tab w:val="left" w:pos="851"/>
        </w:tabs>
        <w:ind w:left="0" w:firstLine="851"/>
        <w:jc w:val="both"/>
        <w:rPr>
          <w:rFonts w:ascii="Times New Roman" w:eastAsia="Times New Roman" w:hAnsi="Times New Roman"/>
          <w:sz w:val="28"/>
          <w:szCs w:val="28"/>
          <w:lang w:eastAsia="ru-RU"/>
        </w:rPr>
      </w:pPr>
      <w:r w:rsidRPr="001D7891">
        <w:rPr>
          <w:rFonts w:ascii="Times New Roman" w:eastAsia="Times New Roman" w:hAnsi="Times New Roman"/>
          <w:sz w:val="28"/>
          <w:szCs w:val="28"/>
          <w:lang w:eastAsia="ru-RU"/>
        </w:rPr>
        <w:t>- перевірку функціонування всіх вузлів;</w:t>
      </w:r>
    </w:p>
    <w:p w:rsidR="005609A7" w:rsidRPr="001D7891" w:rsidRDefault="005609A7" w:rsidP="005609A7">
      <w:pPr>
        <w:widowControl w:val="0"/>
        <w:tabs>
          <w:tab w:val="left" w:pos="851"/>
        </w:tabs>
        <w:ind w:left="0" w:firstLine="851"/>
        <w:jc w:val="both"/>
        <w:rPr>
          <w:rFonts w:ascii="Times New Roman" w:eastAsia="Times New Roman" w:hAnsi="Times New Roman"/>
          <w:sz w:val="28"/>
          <w:szCs w:val="28"/>
          <w:lang w:eastAsia="ru-RU"/>
        </w:rPr>
      </w:pPr>
      <w:r w:rsidRPr="001D7891">
        <w:rPr>
          <w:rFonts w:ascii="Times New Roman" w:eastAsia="Times New Roman" w:hAnsi="Times New Roman"/>
          <w:sz w:val="28"/>
          <w:szCs w:val="28"/>
          <w:lang w:eastAsia="ru-RU"/>
        </w:rPr>
        <w:t>- регулюючі роботи, необхідність яких виникає в процесі експлуатації;</w:t>
      </w:r>
    </w:p>
    <w:p w:rsidR="005609A7" w:rsidRPr="001D7891" w:rsidRDefault="005609A7" w:rsidP="005609A7">
      <w:pPr>
        <w:widowControl w:val="0"/>
        <w:tabs>
          <w:tab w:val="left" w:pos="851"/>
        </w:tabs>
        <w:ind w:left="0" w:firstLine="851"/>
        <w:jc w:val="both"/>
        <w:rPr>
          <w:rFonts w:ascii="Times New Roman" w:eastAsia="Times New Roman" w:hAnsi="Times New Roman"/>
          <w:sz w:val="28"/>
          <w:szCs w:val="28"/>
          <w:lang w:eastAsia="ru-RU"/>
        </w:rPr>
      </w:pPr>
      <w:r w:rsidRPr="001D7891">
        <w:rPr>
          <w:rFonts w:ascii="Times New Roman" w:eastAsia="Times New Roman" w:hAnsi="Times New Roman"/>
          <w:sz w:val="28"/>
          <w:szCs w:val="28"/>
          <w:lang w:eastAsia="ru-RU"/>
        </w:rPr>
        <w:t xml:space="preserve">- усунення </w:t>
      </w:r>
      <w:proofErr w:type="spellStart"/>
      <w:r w:rsidRPr="001D7891">
        <w:rPr>
          <w:rFonts w:ascii="Times New Roman" w:eastAsia="Times New Roman" w:hAnsi="Times New Roman"/>
          <w:sz w:val="28"/>
          <w:szCs w:val="28"/>
          <w:lang w:eastAsia="ru-RU"/>
        </w:rPr>
        <w:t>несправностей</w:t>
      </w:r>
      <w:proofErr w:type="spellEnd"/>
      <w:r w:rsidRPr="001D7891">
        <w:rPr>
          <w:rFonts w:ascii="Times New Roman" w:eastAsia="Times New Roman" w:hAnsi="Times New Roman"/>
          <w:sz w:val="28"/>
          <w:szCs w:val="28"/>
          <w:lang w:eastAsia="ru-RU"/>
        </w:rPr>
        <w:t xml:space="preserve"> (профілактика, заміна вузлів і частин);</w:t>
      </w:r>
    </w:p>
    <w:p w:rsidR="005609A7" w:rsidRPr="001D7891" w:rsidRDefault="005609A7" w:rsidP="005609A7">
      <w:pPr>
        <w:widowControl w:val="0"/>
        <w:tabs>
          <w:tab w:val="left" w:pos="851"/>
        </w:tabs>
        <w:ind w:left="0" w:firstLine="851"/>
        <w:jc w:val="both"/>
        <w:rPr>
          <w:rFonts w:ascii="Times New Roman" w:eastAsia="Times New Roman" w:hAnsi="Times New Roman"/>
          <w:sz w:val="28"/>
          <w:szCs w:val="28"/>
          <w:lang w:eastAsia="ru-RU"/>
        </w:rPr>
      </w:pPr>
      <w:r w:rsidRPr="001D7891">
        <w:rPr>
          <w:rFonts w:ascii="Times New Roman" w:eastAsia="Times New Roman" w:hAnsi="Times New Roman"/>
          <w:sz w:val="28"/>
          <w:szCs w:val="28"/>
          <w:lang w:eastAsia="ru-RU"/>
        </w:rPr>
        <w:t>- чистку від пилу, бруду у внутрішньому просторі системного блоку, чистка системи охолодження (</w:t>
      </w:r>
      <w:proofErr w:type="spellStart"/>
      <w:r w:rsidRPr="001D7891">
        <w:rPr>
          <w:rFonts w:ascii="Times New Roman" w:eastAsia="Times New Roman" w:hAnsi="Times New Roman"/>
          <w:sz w:val="28"/>
          <w:szCs w:val="28"/>
          <w:lang w:eastAsia="ru-RU"/>
        </w:rPr>
        <w:t>кулерів</w:t>
      </w:r>
      <w:proofErr w:type="spellEnd"/>
      <w:r w:rsidRPr="001D7891">
        <w:rPr>
          <w:rFonts w:ascii="Times New Roman" w:eastAsia="Times New Roman" w:hAnsi="Times New Roman"/>
          <w:sz w:val="28"/>
          <w:szCs w:val="28"/>
          <w:lang w:eastAsia="ru-RU"/>
        </w:rPr>
        <w:t xml:space="preserve"> центрального процесора, блоку живлення, </w:t>
      </w:r>
      <w:proofErr w:type="spellStart"/>
      <w:r w:rsidRPr="001D7891">
        <w:rPr>
          <w:rFonts w:ascii="Times New Roman" w:eastAsia="Times New Roman" w:hAnsi="Times New Roman"/>
          <w:sz w:val="28"/>
          <w:szCs w:val="28"/>
          <w:lang w:eastAsia="ru-RU"/>
        </w:rPr>
        <w:t>відеокарти</w:t>
      </w:r>
      <w:proofErr w:type="spellEnd"/>
      <w:r w:rsidRPr="001D7891">
        <w:rPr>
          <w:rFonts w:ascii="Times New Roman" w:eastAsia="Times New Roman" w:hAnsi="Times New Roman"/>
          <w:sz w:val="28"/>
          <w:szCs w:val="28"/>
          <w:lang w:eastAsia="ru-RU"/>
        </w:rPr>
        <w:t xml:space="preserve"> та у разі наявності інших);</w:t>
      </w:r>
    </w:p>
    <w:p w:rsidR="005609A7" w:rsidRPr="001D7891" w:rsidRDefault="005609A7" w:rsidP="005609A7">
      <w:pPr>
        <w:widowControl w:val="0"/>
        <w:tabs>
          <w:tab w:val="left" w:pos="851"/>
        </w:tabs>
        <w:ind w:left="0" w:firstLine="851"/>
        <w:jc w:val="both"/>
        <w:rPr>
          <w:rFonts w:ascii="Times New Roman" w:eastAsia="Times New Roman" w:hAnsi="Times New Roman"/>
          <w:sz w:val="28"/>
          <w:szCs w:val="28"/>
          <w:lang w:eastAsia="ru-RU"/>
        </w:rPr>
      </w:pPr>
      <w:r w:rsidRPr="001D7891">
        <w:rPr>
          <w:rFonts w:ascii="Times New Roman" w:eastAsia="Times New Roman" w:hAnsi="Times New Roman"/>
          <w:sz w:val="28"/>
          <w:szCs w:val="28"/>
          <w:lang w:eastAsia="ru-RU"/>
        </w:rPr>
        <w:t>- перевірку режимів роботи системного блоку (вмикання/вимикання, перезавантаження за допомогою кнопок та засобами операційної системи);</w:t>
      </w:r>
    </w:p>
    <w:p w:rsidR="005609A7" w:rsidRPr="001D7891" w:rsidRDefault="005609A7" w:rsidP="005609A7">
      <w:pPr>
        <w:ind w:left="0" w:firstLine="851"/>
        <w:jc w:val="both"/>
        <w:rPr>
          <w:rFonts w:ascii="Times New Roman" w:eastAsia="Times New Roman" w:hAnsi="Times New Roman"/>
          <w:sz w:val="28"/>
          <w:szCs w:val="28"/>
          <w:lang w:eastAsia="ru-RU"/>
        </w:rPr>
      </w:pPr>
      <w:r w:rsidRPr="001D7891">
        <w:rPr>
          <w:rFonts w:ascii="Times New Roman" w:eastAsia="Times New Roman" w:hAnsi="Times New Roman"/>
          <w:sz w:val="28"/>
          <w:szCs w:val="28"/>
          <w:lang w:eastAsia="ru-RU"/>
        </w:rPr>
        <w:t>- поточний ремонт деталей чи вузлів технічного засобу, що включає в себе вартість запасних частин деталей та вузлів.</w:t>
      </w:r>
    </w:p>
    <w:p w:rsidR="005609A7" w:rsidRPr="00000AC2" w:rsidRDefault="005609A7" w:rsidP="005609A7">
      <w:pPr>
        <w:widowControl w:val="0"/>
        <w:pBdr>
          <w:top w:val="nil"/>
          <w:left w:val="nil"/>
          <w:bottom w:val="nil"/>
          <w:right w:val="nil"/>
          <w:between w:val="nil"/>
        </w:pBdr>
        <w:spacing w:after="120"/>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Головною метою закупівлі є відновлення працездатності та підтримання у належному стані комп’ютерів та серверів, які експлуатуються у підрозділах УДЦР.</w:t>
      </w:r>
    </w:p>
    <w:p w:rsidR="005609A7" w:rsidRDefault="005609A7" w:rsidP="005609A7">
      <w:pPr>
        <w:pStyle w:val="Default"/>
        <w:jc w:val="both"/>
        <w:rPr>
          <w:b/>
          <w:bCs/>
          <w:sz w:val="28"/>
          <w:szCs w:val="28"/>
        </w:rPr>
      </w:pPr>
      <w:r w:rsidRPr="003971BA">
        <w:rPr>
          <w:b/>
          <w:bCs/>
          <w:sz w:val="28"/>
          <w:szCs w:val="28"/>
        </w:rPr>
        <w:t xml:space="preserve">Очікувана вартість предмета закупівлі: </w:t>
      </w:r>
    </w:p>
    <w:p w:rsidR="005609A7" w:rsidRPr="00195B07" w:rsidRDefault="005609A7" w:rsidP="005609A7">
      <w:pPr>
        <w:pBdr>
          <w:top w:val="nil"/>
          <w:left w:val="nil"/>
          <w:bottom w:val="nil"/>
          <w:right w:val="nil"/>
          <w:between w:val="nil"/>
        </w:pBdr>
        <w:ind w:left="0" w:firstLine="567"/>
        <w:jc w:val="both"/>
        <w:rPr>
          <w:rFonts w:ascii="Times New Roman" w:eastAsia="Times New Roman" w:hAnsi="Times New Roman"/>
          <w:color w:val="000000"/>
          <w:sz w:val="28"/>
          <w:szCs w:val="28"/>
          <w:lang w:eastAsia="ru-RU"/>
        </w:rPr>
      </w:pPr>
      <w:r w:rsidRPr="00195B07">
        <w:rPr>
          <w:rFonts w:ascii="Times New Roman" w:eastAsia="Times New Roman" w:hAnsi="Times New Roman"/>
          <w:color w:val="000000"/>
          <w:sz w:val="28"/>
          <w:szCs w:val="28"/>
          <w:lang w:eastAsia="ru-RU"/>
        </w:rPr>
        <w:t xml:space="preserve">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w:t>
      </w:r>
      <w:proofErr w:type="spellStart"/>
      <w:r w:rsidRPr="00195B07">
        <w:rPr>
          <w:rFonts w:ascii="Times New Roman" w:eastAsia="Times New Roman" w:hAnsi="Times New Roman"/>
          <w:color w:val="000000"/>
          <w:sz w:val="28"/>
          <w:szCs w:val="28"/>
          <w:lang w:eastAsia="ru-RU"/>
        </w:rPr>
        <w:t>Prozorro</w:t>
      </w:r>
      <w:proofErr w:type="spellEnd"/>
      <w:r w:rsidRPr="00195B07">
        <w:rPr>
          <w:rFonts w:ascii="Times New Roman" w:eastAsia="Times New Roman" w:hAnsi="Times New Roman"/>
          <w:color w:val="000000"/>
          <w:sz w:val="28"/>
          <w:szCs w:val="28"/>
          <w:lang w:eastAsia="ru-RU"/>
        </w:rPr>
        <w:t xml:space="preserve"> та раніш укладених договорів УДЦР, очікувана вартість становить близько </w:t>
      </w:r>
      <w:r>
        <w:rPr>
          <w:rFonts w:ascii="Times New Roman" w:eastAsia="Times New Roman" w:hAnsi="Times New Roman"/>
          <w:color w:val="000000"/>
          <w:sz w:val="28"/>
          <w:szCs w:val="28"/>
          <w:lang w:eastAsia="ru-RU"/>
        </w:rPr>
        <w:t xml:space="preserve">155 </w:t>
      </w:r>
      <w:r w:rsidRPr="00195B07">
        <w:rPr>
          <w:rFonts w:ascii="Times New Roman" w:eastAsia="Times New Roman" w:hAnsi="Times New Roman"/>
          <w:color w:val="000000"/>
          <w:sz w:val="28"/>
          <w:szCs w:val="28"/>
          <w:lang w:eastAsia="ru-RU"/>
        </w:rPr>
        <w:t>000,00 грн.</w:t>
      </w:r>
    </w:p>
    <w:p w:rsidR="005609A7" w:rsidRDefault="005609A7" w:rsidP="005609A7">
      <w:pPr>
        <w:pBdr>
          <w:top w:val="nil"/>
          <w:left w:val="nil"/>
          <w:bottom w:val="nil"/>
          <w:right w:val="nil"/>
          <w:between w:val="nil"/>
        </w:pBdr>
        <w:spacing w:line="269" w:lineRule="auto"/>
        <w:ind w:left="0" w:firstLine="567"/>
        <w:jc w:val="both"/>
        <w:rPr>
          <w:rFonts w:ascii="Times New Roman" w:eastAsia="Times New Roman" w:hAnsi="Times New Roman"/>
          <w:color w:val="000000"/>
          <w:sz w:val="28"/>
          <w:szCs w:val="28"/>
          <w:lang w:eastAsia="ru-RU"/>
        </w:rPr>
      </w:pPr>
    </w:p>
    <w:p w:rsidR="00365D6C" w:rsidRPr="005609A7" w:rsidRDefault="00365D6C" w:rsidP="005609A7">
      <w:bookmarkStart w:id="0" w:name="_GoBack"/>
      <w:bookmarkEnd w:id="0"/>
    </w:p>
    <w:sectPr w:rsidR="00365D6C" w:rsidRPr="005609A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454E1337"/>
    <w:multiLevelType w:val="hybridMultilevel"/>
    <w:tmpl w:val="7730DB7C"/>
    <w:lvl w:ilvl="0" w:tplc="5E4CF638">
      <w:start w:val="1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74D4B"/>
    <w:rsid w:val="00176E04"/>
    <w:rsid w:val="001F2D39"/>
    <w:rsid w:val="002A2AC8"/>
    <w:rsid w:val="002E591F"/>
    <w:rsid w:val="003070A4"/>
    <w:rsid w:val="00321A62"/>
    <w:rsid w:val="00365D6C"/>
    <w:rsid w:val="00386246"/>
    <w:rsid w:val="00407471"/>
    <w:rsid w:val="00407AB4"/>
    <w:rsid w:val="00457037"/>
    <w:rsid w:val="005609A7"/>
    <w:rsid w:val="005916D8"/>
    <w:rsid w:val="005E08AA"/>
    <w:rsid w:val="00642B2D"/>
    <w:rsid w:val="006D65A6"/>
    <w:rsid w:val="00745636"/>
    <w:rsid w:val="00772FD1"/>
    <w:rsid w:val="007A7FE3"/>
    <w:rsid w:val="007B3077"/>
    <w:rsid w:val="007F4FDC"/>
    <w:rsid w:val="00893635"/>
    <w:rsid w:val="008C1CB2"/>
    <w:rsid w:val="008D4CB7"/>
    <w:rsid w:val="008E1ECF"/>
    <w:rsid w:val="009148C9"/>
    <w:rsid w:val="0094772B"/>
    <w:rsid w:val="0099760E"/>
    <w:rsid w:val="00A12A43"/>
    <w:rsid w:val="00A4030D"/>
    <w:rsid w:val="00A62AE5"/>
    <w:rsid w:val="00A74F7D"/>
    <w:rsid w:val="00B42DD8"/>
    <w:rsid w:val="00B815F6"/>
    <w:rsid w:val="00BB00FE"/>
    <w:rsid w:val="00CB741F"/>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9A7"/>
    <w:pPr>
      <w:spacing w:after="0" w:line="240" w:lineRule="auto"/>
      <w:ind w:left="3827"/>
    </w:pPr>
    <w:rPr>
      <w:rFonts w:ascii="Calibri" w:eastAsia="Calibri" w:hAnsi="Calibri" w:cs="Times New Roman"/>
      <w:lang w:val="uk-UA"/>
    </w:rPr>
  </w:style>
  <w:style w:type="paragraph" w:styleId="1">
    <w:name w:val="heading 1"/>
    <w:basedOn w:val="a"/>
    <w:next w:val="a"/>
    <w:link w:val="10"/>
    <w:uiPriority w:val="9"/>
    <w:qFormat/>
    <w:rsid w:val="006D65A6"/>
    <w:pPr>
      <w:keepNext/>
      <w:keepLines/>
      <w:spacing w:before="240" w:line="259" w:lineRule="auto"/>
      <w:ind w:left="0"/>
      <w:outlineLvl w:val="0"/>
    </w:pPr>
    <w:rPr>
      <w:rFonts w:asciiTheme="majorHAnsi" w:eastAsiaTheme="majorEastAsia" w:hAnsiTheme="majorHAnsi" w:cstheme="majorBidi"/>
      <w:color w:val="2E74B5"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ind w:left="720"/>
      <w:contextualSpacing/>
    </w:pPr>
    <w:rPr>
      <w:rFonts w:ascii="Times New Roman" w:eastAsia="Times New Roman" w:hAnsi="Times New Roman"/>
      <w:sz w:val="24"/>
      <w:szCs w:val="24"/>
      <w:lang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ind w:left="0"/>
    </w:pPr>
    <w:rPr>
      <w:rFonts w:ascii="Times New Roman" w:eastAsia="Times New Roman" w:hAnsi="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55">
      <w:bodyDiv w:val="1"/>
      <w:marLeft w:val="0"/>
      <w:marRight w:val="0"/>
      <w:marTop w:val="0"/>
      <w:marBottom w:val="0"/>
      <w:divBdr>
        <w:top w:val="none" w:sz="0" w:space="0" w:color="auto"/>
        <w:left w:val="none" w:sz="0" w:space="0" w:color="auto"/>
        <w:bottom w:val="none" w:sz="0" w:space="0" w:color="auto"/>
        <w:right w:val="none" w:sz="0" w:space="0" w:color="auto"/>
      </w:divBdr>
    </w:div>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572786235">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13291434">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887228831">
      <w:bodyDiv w:val="1"/>
      <w:marLeft w:val="0"/>
      <w:marRight w:val="0"/>
      <w:marTop w:val="0"/>
      <w:marBottom w:val="0"/>
      <w:divBdr>
        <w:top w:val="none" w:sz="0" w:space="0" w:color="auto"/>
        <w:left w:val="none" w:sz="0" w:space="0" w:color="auto"/>
        <w:bottom w:val="none" w:sz="0" w:space="0" w:color="auto"/>
        <w:right w:val="none" w:sz="0" w:space="0" w:color="auto"/>
      </w:divBdr>
    </w:div>
    <w:div w:id="917716617">
      <w:bodyDiv w:val="1"/>
      <w:marLeft w:val="0"/>
      <w:marRight w:val="0"/>
      <w:marTop w:val="0"/>
      <w:marBottom w:val="0"/>
      <w:divBdr>
        <w:top w:val="none" w:sz="0" w:space="0" w:color="auto"/>
        <w:left w:val="none" w:sz="0" w:space="0" w:color="auto"/>
        <w:bottom w:val="none" w:sz="0" w:space="0" w:color="auto"/>
        <w:right w:val="none" w:sz="0" w:space="0" w:color="auto"/>
      </w:divBdr>
    </w:div>
    <w:div w:id="986401421">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374962958">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598443809">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48212698">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2024-08-08T10:15:00Z</dcterms:created>
  <dcterms:modified xsi:type="dcterms:W3CDTF">2024-08-08T10:15:00Z</dcterms:modified>
</cp:coreProperties>
</file>