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305658" w:rsidRDefault="00E56332" w:rsidP="00E5633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56332" w:rsidRPr="00305658" w:rsidRDefault="00305658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305658" w:rsidRDefault="00305658" w:rsidP="00305658">
      <w:pPr>
        <w:widowControl w:val="0"/>
        <w:spacing w:before="120" w:line="269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305658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A3C" w:rsidRPr="00305658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5658">
        <w:rPr>
          <w:rFonts w:ascii="Times New Roman" w:hAnsi="Times New Roman"/>
          <w:bCs/>
          <w:sz w:val="28"/>
          <w:szCs w:val="28"/>
        </w:rPr>
        <w:t>ДК 021:2015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67694" w:rsidRPr="00467694">
        <w:rPr>
          <w:rFonts w:ascii="Times New Roman" w:hAnsi="Times New Roman"/>
          <w:bCs/>
          <w:sz w:val="28"/>
          <w:szCs w:val="28"/>
        </w:rPr>
        <w:t>7225  Послуги, пов’язані із системами та підтримкою</w:t>
      </w:r>
      <w:r w:rsidRPr="006E0443">
        <w:rPr>
          <w:rFonts w:ascii="Times New Roman" w:hAnsi="Times New Roman"/>
          <w:bCs/>
          <w:sz w:val="28"/>
          <w:szCs w:val="28"/>
        </w:rPr>
        <w:t xml:space="preserve"> </w:t>
      </w:r>
      <w:r w:rsidR="00467694">
        <w:rPr>
          <w:rFonts w:ascii="Times New Roman" w:hAnsi="Times New Roman"/>
          <w:bCs/>
          <w:sz w:val="28"/>
          <w:szCs w:val="28"/>
        </w:rPr>
        <w:t>(</w:t>
      </w:r>
      <w:r w:rsidR="00FD5FF7" w:rsidRPr="00FD5FF7">
        <w:rPr>
          <w:rFonts w:ascii="Times New Roman" w:hAnsi="Times New Roman"/>
          <w:sz w:val="28"/>
          <w:szCs w:val="28"/>
          <w:lang w:eastAsia="ru-RU"/>
        </w:rPr>
        <w:t xml:space="preserve">Модернізація функціональних можливостей системи розрахунку, збереження та обробки зон покриття базових станцій операторів та супутніх даних (данні драйв тестів, додаткові параметри РЕЗ, та </w:t>
      </w:r>
      <w:proofErr w:type="spellStart"/>
      <w:r w:rsidR="00FD5FF7" w:rsidRPr="00FD5FF7">
        <w:rPr>
          <w:rFonts w:ascii="Times New Roman" w:hAnsi="Times New Roman"/>
          <w:sz w:val="28"/>
          <w:szCs w:val="28"/>
          <w:lang w:eastAsia="ru-RU"/>
        </w:rPr>
        <w:t>інш</w:t>
      </w:r>
      <w:proofErr w:type="spellEnd"/>
      <w:r w:rsidR="00FD5FF7" w:rsidRPr="00FD5FF7">
        <w:rPr>
          <w:rFonts w:ascii="Times New Roman" w:hAnsi="Times New Roman"/>
          <w:sz w:val="28"/>
          <w:szCs w:val="28"/>
          <w:lang w:eastAsia="ru-RU"/>
        </w:rPr>
        <w:t xml:space="preserve">.) на базі Модуля розрахунків та обробки технічних параметрів та геоінформаційних показників  РЕЗ ЦСЗ (ICS Control </w:t>
      </w:r>
      <w:proofErr w:type="spellStart"/>
      <w:r w:rsidR="00FD5FF7" w:rsidRPr="00FD5FF7">
        <w:rPr>
          <w:rFonts w:ascii="Times New Roman" w:hAnsi="Times New Roman"/>
          <w:sz w:val="28"/>
          <w:szCs w:val="28"/>
          <w:lang w:eastAsia="ru-RU"/>
        </w:rPr>
        <w:t>Coverage</w:t>
      </w:r>
      <w:proofErr w:type="spellEnd"/>
      <w:r w:rsidR="00FD5FF7" w:rsidRPr="00FD5FF7">
        <w:rPr>
          <w:rFonts w:ascii="Times New Roman" w:hAnsi="Times New Roman"/>
          <w:sz w:val="28"/>
          <w:szCs w:val="28"/>
          <w:lang w:eastAsia="ru-RU"/>
        </w:rPr>
        <w:t>)</w:t>
      </w:r>
      <w:r w:rsidR="007F6230" w:rsidRPr="005E5641">
        <w:rPr>
          <w:rFonts w:ascii="Times New Roman" w:hAnsi="Times New Roman"/>
          <w:sz w:val="28"/>
          <w:szCs w:val="28"/>
          <w:lang w:eastAsia="uk-UA"/>
        </w:rPr>
        <w:t>)</w:t>
      </w:r>
      <w:r w:rsidR="006E0443">
        <w:rPr>
          <w:rFonts w:ascii="Times New Roman" w:hAnsi="Times New Roman"/>
          <w:bCs/>
          <w:sz w:val="28"/>
          <w:szCs w:val="28"/>
        </w:rPr>
        <w:t>.</w:t>
      </w:r>
    </w:p>
    <w:p w:rsidR="00305658" w:rsidRPr="00305658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565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Технічні та якісні характеристики предмета закупівлі:</w:t>
      </w:r>
    </w:p>
    <w:p w:rsidR="00FD2A3C" w:rsidRPr="007F6230" w:rsidRDefault="00FD2A3C" w:rsidP="00FD2A3C">
      <w:p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4D0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Метою </w:t>
      </w:r>
      <w:r w:rsidR="00FD5FF7">
        <w:rPr>
          <w:rFonts w:ascii="Times New Roman" w:eastAsia="SimSun" w:hAnsi="Times New Roman"/>
          <w:sz w:val="28"/>
          <w:szCs w:val="28"/>
          <w:lang w:eastAsia="zh-CN"/>
        </w:rPr>
        <w:t xml:space="preserve">проведення робіт </w:t>
      </w:r>
      <w:r w:rsidRPr="00324D05">
        <w:rPr>
          <w:rFonts w:ascii="Times New Roman" w:eastAsia="SimSun" w:hAnsi="Times New Roman"/>
          <w:sz w:val="28"/>
          <w:szCs w:val="28"/>
          <w:lang w:eastAsia="zh-CN"/>
        </w:rPr>
        <w:t xml:space="preserve">є </w:t>
      </w:r>
      <w:r w:rsidR="00E05F2E">
        <w:rPr>
          <w:rFonts w:ascii="Times New Roman" w:hAnsi="Times New Roman"/>
          <w:sz w:val="28"/>
          <w:szCs w:val="28"/>
          <w:lang w:eastAsia="ru-RU"/>
        </w:rPr>
        <w:t>м</w:t>
      </w:r>
      <w:r w:rsidR="00FD5FF7" w:rsidRPr="00FD5FF7">
        <w:rPr>
          <w:rFonts w:ascii="Times New Roman" w:hAnsi="Times New Roman"/>
          <w:sz w:val="28"/>
          <w:szCs w:val="28"/>
          <w:lang w:eastAsia="ru-RU"/>
        </w:rPr>
        <w:t xml:space="preserve">одернізація функціональних можливостей системи розрахунку, збереження та обробки зон покриття базових станцій операторів та супутніх даних (данні драйв тестів, додаткові параметри РЕЗ, та </w:t>
      </w:r>
      <w:proofErr w:type="spellStart"/>
      <w:r w:rsidR="00FD5FF7" w:rsidRPr="00FD5FF7">
        <w:rPr>
          <w:rFonts w:ascii="Times New Roman" w:hAnsi="Times New Roman"/>
          <w:sz w:val="28"/>
          <w:szCs w:val="28"/>
          <w:lang w:eastAsia="ru-RU"/>
        </w:rPr>
        <w:t>інш</w:t>
      </w:r>
      <w:proofErr w:type="spellEnd"/>
      <w:r w:rsidR="00FD5FF7" w:rsidRPr="00FD5FF7">
        <w:rPr>
          <w:rFonts w:ascii="Times New Roman" w:hAnsi="Times New Roman"/>
          <w:sz w:val="28"/>
          <w:szCs w:val="28"/>
          <w:lang w:eastAsia="ru-RU"/>
        </w:rPr>
        <w:t xml:space="preserve">.) на базі Модуля розрахунків та обробки технічних параметрів та геоінформаційних показників  РЕЗ ЦСЗ (ICS Control </w:t>
      </w:r>
      <w:proofErr w:type="spellStart"/>
      <w:r w:rsidR="00FD5FF7" w:rsidRPr="00FD5FF7">
        <w:rPr>
          <w:rFonts w:ascii="Times New Roman" w:hAnsi="Times New Roman"/>
          <w:sz w:val="28"/>
          <w:szCs w:val="28"/>
          <w:lang w:eastAsia="ru-RU"/>
        </w:rPr>
        <w:t>Coverage</w:t>
      </w:r>
      <w:proofErr w:type="spellEnd"/>
      <w:r w:rsidR="00FD5FF7" w:rsidRPr="00FD5FF7">
        <w:rPr>
          <w:rFonts w:ascii="Times New Roman" w:hAnsi="Times New Roman"/>
          <w:sz w:val="28"/>
          <w:szCs w:val="28"/>
          <w:lang w:eastAsia="ru-RU"/>
        </w:rPr>
        <w:t>)</w:t>
      </w:r>
      <w:r w:rsidRPr="00324D05">
        <w:rPr>
          <w:rFonts w:ascii="Times New Roman" w:hAnsi="Times New Roman"/>
          <w:sz w:val="28"/>
          <w:szCs w:val="28"/>
          <w:lang w:eastAsia="zh-CN"/>
        </w:rPr>
        <w:t xml:space="preserve"> у відповідності до сучасних виробничих потреб УДЦР.</w:t>
      </w:r>
      <w:r w:rsidR="007F6230" w:rsidRPr="007F6230">
        <w:rPr>
          <w:rFonts w:ascii="Times New Roman" w:hAnsi="Times New Roman"/>
          <w:sz w:val="28"/>
          <w:szCs w:val="28"/>
        </w:rPr>
        <w:t xml:space="preserve"> </w:t>
      </w:r>
    </w:p>
    <w:p w:rsidR="007F6230" w:rsidRPr="007F6230" w:rsidRDefault="007F6230" w:rsidP="007F6230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230">
        <w:rPr>
          <w:rFonts w:ascii="Times New Roman" w:hAnsi="Times New Roman"/>
          <w:sz w:val="28"/>
          <w:szCs w:val="28"/>
        </w:rPr>
        <w:t xml:space="preserve"> Результатом проведення зазначених робіт </w:t>
      </w:r>
      <w:r w:rsidRPr="007F6230">
        <w:rPr>
          <w:rFonts w:ascii="Times New Roman" w:hAnsi="Times New Roman"/>
          <w:sz w:val="28"/>
          <w:szCs w:val="28"/>
          <w:lang w:eastAsia="zh-CN"/>
        </w:rPr>
        <w:t>є наступні можливості</w:t>
      </w:r>
      <w:r w:rsidRPr="007F6230">
        <w:rPr>
          <w:rFonts w:ascii="Times New Roman" w:hAnsi="Times New Roman"/>
          <w:sz w:val="28"/>
          <w:szCs w:val="28"/>
        </w:rPr>
        <w:t>:</w:t>
      </w:r>
    </w:p>
    <w:p w:rsidR="007F6230" w:rsidRPr="00CB5EEA" w:rsidRDefault="007F6230" w:rsidP="007F6230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left" w:pos="851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5EEA">
        <w:rPr>
          <w:rFonts w:ascii="Times New Roman" w:hAnsi="Times New Roman" w:cs="Times New Roman"/>
          <w:sz w:val="28"/>
          <w:szCs w:val="28"/>
        </w:rPr>
        <w:t>консолідаці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5EEA">
        <w:rPr>
          <w:rFonts w:ascii="Times New Roman" w:hAnsi="Times New Roman" w:cs="Times New Roman"/>
          <w:sz w:val="28"/>
          <w:szCs w:val="28"/>
        </w:rPr>
        <w:t xml:space="preserve"> даних оцінювання рівня сигналу, частоти та ширини смуги частот радіовипромінювань джерел радіовипромінювань цифрового стільникового радіозв’язку;</w:t>
      </w:r>
    </w:p>
    <w:p w:rsidR="007F6230" w:rsidRPr="00CB5EEA" w:rsidRDefault="007F6230" w:rsidP="007F6230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left" w:pos="851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5EEA">
        <w:rPr>
          <w:rFonts w:ascii="Times New Roman" w:hAnsi="Times New Roman" w:cs="Times New Roman"/>
          <w:sz w:val="28"/>
          <w:szCs w:val="28"/>
        </w:rPr>
        <w:t>консолідаці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5EEA">
        <w:rPr>
          <w:rFonts w:ascii="Times New Roman" w:hAnsi="Times New Roman" w:cs="Times New Roman"/>
          <w:sz w:val="28"/>
          <w:szCs w:val="28"/>
        </w:rPr>
        <w:t xml:space="preserve"> даних драйв-тестів;</w:t>
      </w:r>
    </w:p>
    <w:p w:rsidR="007F6230" w:rsidRPr="00CB5EEA" w:rsidRDefault="007F6230" w:rsidP="007F6230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left" w:pos="851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5EEA">
        <w:rPr>
          <w:rFonts w:ascii="Times New Roman" w:hAnsi="Times New Roman" w:cs="Times New Roman"/>
          <w:sz w:val="28"/>
          <w:szCs w:val="28"/>
        </w:rPr>
        <w:t>консолідаці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5EEA">
        <w:rPr>
          <w:rFonts w:ascii="Times New Roman" w:hAnsi="Times New Roman" w:cs="Times New Roman"/>
          <w:sz w:val="28"/>
          <w:szCs w:val="28"/>
        </w:rPr>
        <w:t xml:space="preserve"> даних калібрування моделі розповсюдження щодо кожного конкретного РЕЗ стільникового зв’язку, розрахунків референтних спектрів і референтних ситуацій.</w:t>
      </w:r>
    </w:p>
    <w:p w:rsidR="007F6230" w:rsidRPr="00A31B0C" w:rsidRDefault="007F6230" w:rsidP="007F6230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left" w:pos="851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5EEA">
        <w:rPr>
          <w:rFonts w:ascii="Times New Roman" w:hAnsi="Times New Roman" w:cs="Times New Roman"/>
          <w:sz w:val="28"/>
          <w:szCs w:val="28"/>
        </w:rPr>
        <w:t>консолідаці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5EEA">
        <w:rPr>
          <w:rFonts w:ascii="Times New Roman" w:hAnsi="Times New Roman" w:cs="Times New Roman"/>
          <w:sz w:val="28"/>
          <w:szCs w:val="28"/>
        </w:rPr>
        <w:t xml:space="preserve"> </w:t>
      </w:r>
      <w:r w:rsidRPr="00CB5EEA">
        <w:rPr>
          <w:rFonts w:ascii="Times New Roman" w:hAnsi="Times New Roman"/>
          <w:sz w:val="28"/>
          <w:szCs w:val="28"/>
        </w:rPr>
        <w:t>даних розрахунку зон покриття базових станцій операторів та похідних від них: покриття мережі</w:t>
      </w:r>
      <w:r w:rsidRPr="00CB5EEA">
        <w:rPr>
          <w:rFonts w:ascii="Times New Roman" w:hAnsi="Times New Roman"/>
          <w:sz w:val="28"/>
          <w:szCs w:val="28"/>
          <w:lang w:val="ru-RU"/>
        </w:rPr>
        <w:t xml:space="preserve"> оператора</w:t>
      </w:r>
      <w:r w:rsidRPr="00CB5EEA">
        <w:rPr>
          <w:rFonts w:ascii="Times New Roman" w:hAnsi="Times New Roman"/>
          <w:sz w:val="28"/>
          <w:szCs w:val="28"/>
        </w:rPr>
        <w:t xml:space="preserve">, карта </w:t>
      </w:r>
      <w:r w:rsidRPr="00CB5EEA">
        <w:rPr>
          <w:rFonts w:ascii="Times New Roman" w:hAnsi="Times New Roman"/>
          <w:sz w:val="28"/>
          <w:szCs w:val="28"/>
          <w:lang w:val="en-GB"/>
        </w:rPr>
        <w:t>SNIR</w:t>
      </w:r>
      <w:r w:rsidRPr="00CB5EE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B5EEA">
        <w:rPr>
          <w:rFonts w:ascii="Times New Roman" w:hAnsi="Times New Roman"/>
          <w:sz w:val="28"/>
          <w:szCs w:val="28"/>
        </w:rPr>
        <w:t xml:space="preserve"> </w:t>
      </w:r>
      <w:r w:rsidRPr="00CB5EEA">
        <w:rPr>
          <w:rFonts w:ascii="Times New Roman" w:hAnsi="Times New Roman"/>
          <w:sz w:val="28"/>
          <w:szCs w:val="28"/>
          <w:lang w:val="ru-RU"/>
        </w:rPr>
        <w:t xml:space="preserve">карта </w:t>
      </w:r>
      <w:r w:rsidRPr="00CB5EEA">
        <w:rPr>
          <w:rFonts w:ascii="Times New Roman" w:hAnsi="Times New Roman"/>
          <w:sz w:val="28"/>
          <w:szCs w:val="28"/>
        </w:rPr>
        <w:t>максимальних швидкостей</w:t>
      </w:r>
      <w:r>
        <w:rPr>
          <w:rFonts w:ascii="Times New Roman" w:hAnsi="Times New Roman"/>
          <w:sz w:val="28"/>
          <w:szCs w:val="28"/>
        </w:rPr>
        <w:t>;</w:t>
      </w:r>
    </w:p>
    <w:p w:rsidR="007F6230" w:rsidRPr="00A31B0C" w:rsidRDefault="007F6230" w:rsidP="007F6230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left" w:pos="851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5EEA">
        <w:rPr>
          <w:rFonts w:ascii="Times New Roman" w:hAnsi="Times New Roman"/>
          <w:sz w:val="28"/>
          <w:szCs w:val="28"/>
        </w:rPr>
        <w:t xml:space="preserve">розрахунок параметрів РЕЗ </w:t>
      </w:r>
      <w:r w:rsidRPr="007F62BE">
        <w:rPr>
          <w:rFonts w:ascii="Times New Roman" w:hAnsi="Times New Roman"/>
          <w:sz w:val="28"/>
          <w:szCs w:val="28"/>
        </w:rPr>
        <w:t xml:space="preserve">за </w:t>
      </w:r>
      <w:r w:rsidRPr="00CB5EEA">
        <w:rPr>
          <w:rFonts w:ascii="Times New Roman" w:hAnsi="Times New Roman"/>
          <w:sz w:val="28"/>
          <w:szCs w:val="28"/>
        </w:rPr>
        <w:t>результатами драйв тестів на базі ліцензійних параметрів РЕЗ</w:t>
      </w:r>
      <w:r>
        <w:rPr>
          <w:rFonts w:ascii="Times New Roman" w:hAnsi="Times New Roman"/>
          <w:sz w:val="28"/>
          <w:szCs w:val="28"/>
        </w:rPr>
        <w:t>;</w:t>
      </w:r>
    </w:p>
    <w:p w:rsidR="007F6230" w:rsidRDefault="007F6230" w:rsidP="007F6230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left" w:pos="851"/>
        </w:tabs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A31B0C">
        <w:rPr>
          <w:rFonts w:ascii="Times New Roman" w:hAnsi="Times New Roman"/>
          <w:sz w:val="28"/>
          <w:szCs w:val="28"/>
        </w:rPr>
        <w:t>розрахунок зон покриття РЕЗ;</w:t>
      </w:r>
    </w:p>
    <w:p w:rsidR="00D0279F" w:rsidRPr="007F6230" w:rsidRDefault="007F6230" w:rsidP="007F6230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left" w:pos="851"/>
        </w:tabs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7F6230">
        <w:rPr>
          <w:rFonts w:ascii="Times New Roman" w:hAnsi="Times New Roman"/>
          <w:sz w:val="28"/>
          <w:szCs w:val="28"/>
        </w:rPr>
        <w:t>підтримка публікації зон покриття РЕЗ або мереж оператора у загальноприйнятих растрових форматах.</w:t>
      </w:r>
    </w:p>
    <w:p w:rsidR="00305658" w:rsidRDefault="00305658" w:rsidP="00D0279F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BA5349" w:rsidRPr="00305658" w:rsidRDefault="00BA5349" w:rsidP="00BA5349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sz w:val="28"/>
          <w:szCs w:val="28"/>
        </w:rPr>
        <w:t>Очікувана вартість закупівлі послуг була сформована виходячи з аналізу подібних послуг та з урахуванням змін курсу гривні, закладеної до проекту держбюджету України на 202</w:t>
      </w:r>
      <w:r w:rsidR="007F6230" w:rsidRPr="007F6230">
        <w:rPr>
          <w:rFonts w:ascii="Times New Roman" w:hAnsi="Times New Roman"/>
          <w:sz w:val="28"/>
          <w:szCs w:val="28"/>
        </w:rPr>
        <w:t>2</w:t>
      </w:r>
      <w:r w:rsidRPr="00305658">
        <w:rPr>
          <w:rFonts w:ascii="Times New Roman" w:hAnsi="Times New Roman"/>
          <w:sz w:val="28"/>
          <w:szCs w:val="28"/>
        </w:rPr>
        <w:t xml:space="preserve"> рік, становить близько </w:t>
      </w:r>
      <w:r w:rsidR="007F6230" w:rsidRPr="007F6230">
        <w:rPr>
          <w:rFonts w:ascii="Times New Roman" w:hAnsi="Times New Roman"/>
          <w:sz w:val="28"/>
          <w:szCs w:val="28"/>
        </w:rPr>
        <w:t>3</w:t>
      </w:r>
      <w:r w:rsidRPr="00305658">
        <w:rPr>
          <w:rFonts w:ascii="Times New Roman" w:hAnsi="Times New Roman"/>
          <w:sz w:val="28"/>
          <w:szCs w:val="28"/>
        </w:rPr>
        <w:t xml:space="preserve"> </w:t>
      </w:r>
      <w:r w:rsidR="007F6230" w:rsidRPr="007F6230">
        <w:rPr>
          <w:rFonts w:ascii="Times New Roman" w:hAnsi="Times New Roman"/>
          <w:sz w:val="28"/>
          <w:szCs w:val="28"/>
        </w:rPr>
        <w:t>5</w:t>
      </w:r>
      <w:r w:rsidRPr="00305658">
        <w:rPr>
          <w:rFonts w:ascii="Times New Roman" w:hAnsi="Times New Roman"/>
          <w:sz w:val="28"/>
          <w:szCs w:val="28"/>
        </w:rPr>
        <w:t>00 000,00 грн.</w:t>
      </w:r>
    </w:p>
    <w:p w:rsidR="0079580C" w:rsidRPr="00305658" w:rsidRDefault="0079580C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05658" w:rsidRDefault="00305658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305658" w:rsidRDefault="009C480F" w:rsidP="005873D6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58"/>
          <w:sz w:val="28"/>
          <w:szCs w:val="28"/>
          <w:lang w:eastAsia="uk-UA"/>
        </w:rPr>
        <w:t>Директор ДІТ</w:t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  <w:t>Сергій СИРОВЕЦЬ</w:t>
      </w:r>
      <w:bookmarkStart w:id="0" w:name="_GoBack"/>
      <w:bookmarkEnd w:id="0"/>
    </w:p>
    <w:sectPr w:rsidR="00E56332" w:rsidRPr="00305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DE2"/>
    <w:multiLevelType w:val="hybridMultilevel"/>
    <w:tmpl w:val="22EE4EBA"/>
    <w:lvl w:ilvl="0" w:tplc="03820B5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8"/>
    <w:rsid w:val="00132F31"/>
    <w:rsid w:val="00196E63"/>
    <w:rsid w:val="001B0993"/>
    <w:rsid w:val="002175A3"/>
    <w:rsid w:val="003023B6"/>
    <w:rsid w:val="00305658"/>
    <w:rsid w:val="003415AE"/>
    <w:rsid w:val="00407290"/>
    <w:rsid w:val="004128BD"/>
    <w:rsid w:val="00467694"/>
    <w:rsid w:val="004716A4"/>
    <w:rsid w:val="00516593"/>
    <w:rsid w:val="00516D84"/>
    <w:rsid w:val="00567137"/>
    <w:rsid w:val="00577CF1"/>
    <w:rsid w:val="00577ECC"/>
    <w:rsid w:val="005873D6"/>
    <w:rsid w:val="005B70CC"/>
    <w:rsid w:val="005F240A"/>
    <w:rsid w:val="00616B23"/>
    <w:rsid w:val="006A07FD"/>
    <w:rsid w:val="006B334B"/>
    <w:rsid w:val="006B37B0"/>
    <w:rsid w:val="006C1ED8"/>
    <w:rsid w:val="006E0443"/>
    <w:rsid w:val="0072428B"/>
    <w:rsid w:val="00724532"/>
    <w:rsid w:val="0075768D"/>
    <w:rsid w:val="00774769"/>
    <w:rsid w:val="0079580C"/>
    <w:rsid w:val="00796096"/>
    <w:rsid w:val="007B2AD6"/>
    <w:rsid w:val="007F6230"/>
    <w:rsid w:val="00812AAB"/>
    <w:rsid w:val="00863145"/>
    <w:rsid w:val="0092521C"/>
    <w:rsid w:val="009C480F"/>
    <w:rsid w:val="009D40BD"/>
    <w:rsid w:val="009D7E22"/>
    <w:rsid w:val="00A66AAA"/>
    <w:rsid w:val="00A83388"/>
    <w:rsid w:val="00A8572F"/>
    <w:rsid w:val="00AA4347"/>
    <w:rsid w:val="00BA5349"/>
    <w:rsid w:val="00C30359"/>
    <w:rsid w:val="00D0279F"/>
    <w:rsid w:val="00D5305B"/>
    <w:rsid w:val="00E05F2E"/>
    <w:rsid w:val="00E5633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2A3C"/>
    <w:rsid w:val="00FD5094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4706C-BF23-47CE-A3D0-2CD06EC2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1ED8"/>
    <w:rPr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6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F623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ПРИЛЕПСЬКИЙ Сергій Ігорович</cp:lastModifiedBy>
  <cp:revision>16</cp:revision>
  <cp:lastPrinted>2021-10-05T05:30:00Z</cp:lastPrinted>
  <dcterms:created xsi:type="dcterms:W3CDTF">2022-06-06T14:04:00Z</dcterms:created>
  <dcterms:modified xsi:type="dcterms:W3CDTF">2022-08-01T07:54:00Z</dcterms:modified>
</cp:coreProperties>
</file>