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32" w:rsidRPr="00305658" w:rsidRDefault="00E56332" w:rsidP="00E56332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E56332" w:rsidRPr="00305658" w:rsidRDefault="00E56332" w:rsidP="00E56332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415AE" w:rsidRDefault="003415AE" w:rsidP="00E56332">
      <w:pPr>
        <w:ind w:left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E56332" w:rsidRPr="00305658" w:rsidRDefault="00305658" w:rsidP="00E56332">
      <w:pPr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Обґрунтування</w:t>
      </w:r>
    </w:p>
    <w:p w:rsidR="00BA5349" w:rsidRPr="00305658" w:rsidRDefault="00305658" w:rsidP="00305658">
      <w:pPr>
        <w:widowControl w:val="0"/>
        <w:spacing w:before="120" w:line="269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Технічних, якісних характеристик та очікуваної вартості</w:t>
      </w:r>
    </w:p>
    <w:p w:rsid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A5349" w:rsidRP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>Предмет закупівлі: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05658">
        <w:rPr>
          <w:rFonts w:ascii="Times New Roman" w:hAnsi="Times New Roman"/>
          <w:bCs/>
          <w:sz w:val="28"/>
          <w:szCs w:val="28"/>
        </w:rPr>
        <w:t>ДК 021:2015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05658">
        <w:rPr>
          <w:rFonts w:ascii="Times New Roman" w:hAnsi="Times New Roman"/>
          <w:bCs/>
          <w:sz w:val="28"/>
          <w:szCs w:val="28"/>
        </w:rPr>
        <w:t>4821</w:t>
      </w:r>
      <w:r w:rsidRPr="006E0443">
        <w:rPr>
          <w:rFonts w:ascii="Times New Roman" w:hAnsi="Times New Roman"/>
          <w:bCs/>
          <w:sz w:val="28"/>
          <w:szCs w:val="28"/>
        </w:rPr>
        <w:t xml:space="preserve"> Пакети мережевого програмного забезпечення (</w:t>
      </w:r>
      <w:r w:rsidR="006E0443" w:rsidRPr="006E0443">
        <w:rPr>
          <w:rFonts w:ascii="Times New Roman" w:hAnsi="Times New Roman"/>
          <w:bCs/>
          <w:sz w:val="28"/>
          <w:szCs w:val="28"/>
        </w:rPr>
        <w:t xml:space="preserve">Закупівля модулів розрахунків та обробки технічних параметрів та </w:t>
      </w:r>
      <w:proofErr w:type="spellStart"/>
      <w:r w:rsidR="006E0443" w:rsidRPr="006E0443">
        <w:rPr>
          <w:rFonts w:ascii="Times New Roman" w:hAnsi="Times New Roman"/>
          <w:bCs/>
          <w:sz w:val="28"/>
          <w:szCs w:val="28"/>
        </w:rPr>
        <w:t>геоінформаційних</w:t>
      </w:r>
      <w:proofErr w:type="spellEnd"/>
      <w:r w:rsidR="006E0443" w:rsidRPr="006E0443">
        <w:rPr>
          <w:rFonts w:ascii="Times New Roman" w:hAnsi="Times New Roman"/>
          <w:bCs/>
          <w:sz w:val="28"/>
          <w:szCs w:val="28"/>
        </w:rPr>
        <w:t xml:space="preserve"> показників РЕЗ ЦСЗ (ICS </w:t>
      </w:r>
      <w:proofErr w:type="spellStart"/>
      <w:r w:rsidR="006E0443" w:rsidRPr="006E0443">
        <w:rPr>
          <w:rFonts w:ascii="Times New Roman" w:hAnsi="Times New Roman"/>
          <w:bCs/>
          <w:sz w:val="28"/>
          <w:szCs w:val="28"/>
        </w:rPr>
        <w:t>Control</w:t>
      </w:r>
      <w:proofErr w:type="spellEnd"/>
      <w:r w:rsidR="006E0443" w:rsidRPr="006E04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E0443" w:rsidRPr="006E0443">
        <w:rPr>
          <w:rFonts w:ascii="Times New Roman" w:hAnsi="Times New Roman"/>
          <w:bCs/>
          <w:sz w:val="28"/>
          <w:szCs w:val="28"/>
        </w:rPr>
        <w:t>Coverage</w:t>
      </w:r>
      <w:proofErr w:type="spellEnd"/>
      <w:r w:rsidR="006E0443" w:rsidRPr="006E0443">
        <w:rPr>
          <w:rFonts w:ascii="Times New Roman" w:hAnsi="Times New Roman"/>
          <w:bCs/>
          <w:sz w:val="28"/>
          <w:szCs w:val="28"/>
        </w:rPr>
        <w:t>) та безстрокові ліцензії на їх використання</w:t>
      </w:r>
      <w:r w:rsidRPr="006E0443">
        <w:rPr>
          <w:rFonts w:ascii="Times New Roman" w:hAnsi="Times New Roman"/>
          <w:bCs/>
          <w:sz w:val="28"/>
          <w:szCs w:val="28"/>
        </w:rPr>
        <w:t>)</w:t>
      </w:r>
      <w:r w:rsidR="006E0443">
        <w:rPr>
          <w:rFonts w:ascii="Times New Roman" w:hAnsi="Times New Roman"/>
          <w:bCs/>
          <w:sz w:val="28"/>
          <w:szCs w:val="28"/>
        </w:rPr>
        <w:t>.</w:t>
      </w:r>
    </w:p>
    <w:p w:rsidR="00305658" w:rsidRPr="00305658" w:rsidRDefault="00305658" w:rsidP="00BA5349">
      <w:pPr>
        <w:widowControl w:val="0"/>
        <w:tabs>
          <w:tab w:val="left" w:pos="142"/>
          <w:tab w:val="left" w:pos="851"/>
        </w:tabs>
        <w:spacing w:line="269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05658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Технічні та якісні характеристики предмета закупівлі:</w:t>
      </w:r>
    </w:p>
    <w:p w:rsidR="00D0279F" w:rsidRPr="00C64225" w:rsidRDefault="00D0279F" w:rsidP="00D0279F">
      <w:pPr>
        <w:widowControl w:val="0"/>
        <w:tabs>
          <w:tab w:val="left" w:pos="1276"/>
        </w:tabs>
        <w:ind w:left="0" w:firstLine="567"/>
        <w:jc w:val="both"/>
        <w:rPr>
          <w:rFonts w:ascii="Times New Roman" w:eastAsia="SimSun" w:hAnsi="Times New Roman"/>
          <w:b/>
          <w:sz w:val="26"/>
          <w:szCs w:val="26"/>
          <w:lang w:eastAsia="zh-CN"/>
        </w:rPr>
      </w:pPr>
      <w:r w:rsidRPr="00C64225">
        <w:rPr>
          <w:rFonts w:ascii="Times New Roman" w:hAnsi="Times New Roman"/>
          <w:sz w:val="26"/>
          <w:szCs w:val="26"/>
        </w:rPr>
        <w:t>Для забезпечення розвитку інформаційно-комунікаційної інфраструктури підприємства та вдосконалення системи радіочастотного моніторингу у смугах радіочастот загального користування в Україні для досягнення цілей</w:t>
      </w:r>
      <w:r w:rsidRPr="00C64225">
        <w:rPr>
          <w:rFonts w:ascii="Times New Roman" w:hAnsi="Times New Roman"/>
          <w:color w:val="000000"/>
          <w:sz w:val="26"/>
          <w:szCs w:val="26"/>
        </w:rPr>
        <w:t xml:space="preserve"> Стратегічного плану розвитку </w:t>
      </w:r>
      <w:r w:rsidRPr="00C64225">
        <w:rPr>
          <w:rFonts w:ascii="Times New Roman" w:hAnsi="Times New Roman"/>
          <w:bCs/>
          <w:sz w:val="26"/>
          <w:szCs w:val="26"/>
        </w:rPr>
        <w:t>Державного підприємства “Український державний центр радіочастот”</w:t>
      </w:r>
      <w:r w:rsidRPr="00C6422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C64225">
        <w:rPr>
          <w:rFonts w:ascii="Times New Roman" w:hAnsi="Times New Roman"/>
          <w:sz w:val="26"/>
          <w:szCs w:val="26"/>
        </w:rPr>
        <w:t xml:space="preserve">на 2019-2023 роки та 2019-2028 роки, необхідно провести закупівлю програмного забезпечення </w:t>
      </w:r>
      <w:r w:rsidRPr="00C64225">
        <w:rPr>
          <w:rFonts w:ascii="Times New Roman" w:hAnsi="Times New Roman"/>
          <w:sz w:val="26"/>
          <w:szCs w:val="26"/>
          <w:lang w:val="en-US"/>
        </w:rPr>
        <w:t>ICS</w:t>
      </w:r>
      <w:r w:rsidRPr="00C64225">
        <w:rPr>
          <w:rFonts w:ascii="Times New Roman" w:hAnsi="Times New Roman"/>
          <w:sz w:val="26"/>
          <w:szCs w:val="26"/>
        </w:rPr>
        <w:t xml:space="preserve"> </w:t>
      </w:r>
      <w:r w:rsidRPr="00C64225">
        <w:rPr>
          <w:rFonts w:ascii="Times New Roman" w:hAnsi="Times New Roman"/>
          <w:sz w:val="26"/>
          <w:szCs w:val="26"/>
          <w:lang w:val="en-US"/>
        </w:rPr>
        <w:t>Control</w:t>
      </w:r>
      <w:r w:rsidRPr="00C64225">
        <w:rPr>
          <w:rFonts w:ascii="Times New Roman" w:hAnsi="Times New Roman"/>
          <w:sz w:val="26"/>
          <w:szCs w:val="26"/>
        </w:rPr>
        <w:t xml:space="preserve"> </w:t>
      </w:r>
      <w:r w:rsidRPr="00C64225">
        <w:rPr>
          <w:rFonts w:ascii="Times New Roman" w:hAnsi="Times New Roman"/>
          <w:sz w:val="26"/>
          <w:szCs w:val="26"/>
          <w:lang w:val="en-US"/>
        </w:rPr>
        <w:t>Coverage</w:t>
      </w:r>
      <w:r w:rsidRPr="00C64225">
        <w:rPr>
          <w:rFonts w:ascii="Times New Roman" w:hAnsi="Times New Roman"/>
          <w:sz w:val="26"/>
          <w:szCs w:val="26"/>
        </w:rPr>
        <w:t xml:space="preserve"> у складі Модуль </w:t>
      </w:r>
      <w:r w:rsidRPr="00C64225">
        <w:rPr>
          <w:rFonts w:ascii="Times New Roman" w:hAnsi="Times New Roman"/>
          <w:sz w:val="26"/>
          <w:szCs w:val="26"/>
          <w:lang w:val="en-US"/>
        </w:rPr>
        <w:t>ICS</w:t>
      </w:r>
      <w:r w:rsidRPr="00C64225">
        <w:rPr>
          <w:rFonts w:ascii="Times New Roman" w:hAnsi="Times New Roman"/>
          <w:sz w:val="26"/>
          <w:szCs w:val="26"/>
        </w:rPr>
        <w:t xml:space="preserve"> </w:t>
      </w:r>
      <w:r w:rsidRPr="00C64225">
        <w:rPr>
          <w:rFonts w:ascii="Times New Roman" w:hAnsi="Times New Roman"/>
          <w:sz w:val="26"/>
          <w:szCs w:val="26"/>
          <w:lang w:val="en-US"/>
        </w:rPr>
        <w:t>Control</w:t>
      </w:r>
      <w:r w:rsidRPr="00C64225">
        <w:rPr>
          <w:rFonts w:ascii="Times New Roman" w:hAnsi="Times New Roman"/>
          <w:sz w:val="26"/>
          <w:szCs w:val="26"/>
        </w:rPr>
        <w:t xml:space="preserve"> </w:t>
      </w:r>
      <w:r w:rsidRPr="00C64225">
        <w:rPr>
          <w:rFonts w:ascii="Times New Roman" w:hAnsi="Times New Roman"/>
          <w:sz w:val="26"/>
          <w:szCs w:val="26"/>
          <w:lang w:val="en-US"/>
        </w:rPr>
        <w:t>Coverage</w:t>
      </w:r>
      <w:r w:rsidRPr="00C64225">
        <w:rPr>
          <w:rFonts w:ascii="Times New Roman" w:hAnsi="Times New Roman"/>
          <w:sz w:val="26"/>
          <w:szCs w:val="26"/>
        </w:rPr>
        <w:t>, Модуль</w:t>
      </w:r>
      <w:r w:rsidRPr="00C64225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ICS</w:t>
      </w:r>
      <w:r w:rsidRPr="00D027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B5EEA">
        <w:rPr>
          <w:rFonts w:ascii="Times New Roman" w:hAnsi="Times New Roman"/>
          <w:sz w:val="28"/>
          <w:szCs w:val="28"/>
          <w:lang w:val="en-US"/>
        </w:rPr>
        <w:t>Cal</w:t>
      </w:r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End"/>
      <w:r w:rsidRPr="00D027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Server</w:t>
      </w:r>
      <w:r>
        <w:rPr>
          <w:rFonts w:ascii="Times New Roman" w:hAnsi="Times New Roman"/>
          <w:sz w:val="26"/>
          <w:szCs w:val="26"/>
        </w:rPr>
        <w:t>,</w:t>
      </w:r>
      <w:r w:rsidRPr="00C64225">
        <w:rPr>
          <w:rFonts w:ascii="Times New Roman" w:hAnsi="Times New Roman"/>
          <w:sz w:val="26"/>
          <w:szCs w:val="26"/>
        </w:rPr>
        <w:t xml:space="preserve"> Модуль </w:t>
      </w:r>
      <w:r>
        <w:rPr>
          <w:rFonts w:ascii="Times New Roman" w:hAnsi="Times New Roman"/>
          <w:sz w:val="28"/>
          <w:szCs w:val="28"/>
          <w:lang w:val="en-US"/>
        </w:rPr>
        <w:t>ICS</w:t>
      </w:r>
      <w:r w:rsidRPr="00D0279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Infoc</w:t>
      </w:r>
      <w:r w:rsidRPr="00CB5EEA">
        <w:rPr>
          <w:rFonts w:ascii="Times New Roman" w:hAnsi="Times New Roman"/>
          <w:sz w:val="28"/>
          <w:szCs w:val="28"/>
          <w:lang w:val="en-US"/>
        </w:rPr>
        <w:t>enter</w:t>
      </w:r>
      <w:proofErr w:type="spellEnd"/>
      <w:r w:rsidRPr="00D027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Server</w:t>
      </w:r>
      <w:r w:rsidRPr="00C64225">
        <w:rPr>
          <w:rFonts w:ascii="Times New Roman" w:hAnsi="Times New Roman"/>
          <w:sz w:val="26"/>
          <w:szCs w:val="26"/>
        </w:rPr>
        <w:t xml:space="preserve"> </w:t>
      </w:r>
      <w:r w:rsidRPr="00C64225">
        <w:rPr>
          <w:rFonts w:ascii="Times New Roman" w:hAnsi="Times New Roman"/>
          <w:color w:val="000000"/>
          <w:sz w:val="26"/>
          <w:szCs w:val="26"/>
          <w:lang w:eastAsia="uk-UA"/>
        </w:rPr>
        <w:t xml:space="preserve">та безстрокові ліцензії на їх використання. </w:t>
      </w:r>
    </w:p>
    <w:p w:rsidR="00D0279F" w:rsidRDefault="00D0279F" w:rsidP="00D0279F">
      <w:pPr>
        <w:widowControl w:val="0"/>
        <w:spacing w:before="120" w:line="269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Дан</w:t>
      </w:r>
      <w:r w:rsidRPr="003A29D1">
        <w:rPr>
          <w:rFonts w:ascii="Times New Roman" w:hAnsi="Times New Roman"/>
          <w:sz w:val="26"/>
          <w:szCs w:val="26"/>
        </w:rPr>
        <w:t xml:space="preserve">а закупівля необхідна для </w:t>
      </w:r>
      <w:r w:rsidRPr="003A29D1">
        <w:rPr>
          <w:rFonts w:ascii="Times New Roman" w:hAnsi="Times New Roman"/>
          <w:color w:val="000000"/>
          <w:sz w:val="26"/>
          <w:szCs w:val="26"/>
        </w:rPr>
        <w:t>забезпечення консолідації даних</w:t>
      </w:r>
      <w:r w:rsidRPr="003A29D1">
        <w:rPr>
          <w:rFonts w:ascii="Times New Roman" w:hAnsi="Times New Roman"/>
          <w:sz w:val="26"/>
          <w:szCs w:val="26"/>
        </w:rPr>
        <w:t xml:space="preserve"> оцінювання рівнів сигналів, частоти та ширини смуги частот, джерел радіовипромінювань цифрового стільникового радіозв’язку, статистично коректного набору взаємопов’язаних даних на маршруті драйв-тесту (час вимірювання - поточні координати МСРК – рівень сигналу БС в точці прийому МСРК (напруженість ЕМП) - GLOBAL_SID БС) по кожному оператору та по кожній </w:t>
      </w:r>
      <w:proofErr w:type="spellStart"/>
      <w:r w:rsidRPr="003A29D1">
        <w:rPr>
          <w:rFonts w:ascii="Times New Roman" w:hAnsi="Times New Roman"/>
          <w:sz w:val="26"/>
          <w:szCs w:val="26"/>
        </w:rPr>
        <w:t>радіотехнології</w:t>
      </w:r>
      <w:proofErr w:type="spellEnd"/>
      <w:r w:rsidRPr="003A29D1">
        <w:rPr>
          <w:rFonts w:ascii="Times New Roman" w:hAnsi="Times New Roman"/>
          <w:sz w:val="26"/>
          <w:szCs w:val="26"/>
        </w:rPr>
        <w:t xml:space="preserve"> цифрового стільникового зв’язку (ЦСЗ), калібрування моделі розповсюдження щодо кожного конкретного РЕЗ стільникового зв’язку, розрахунків референтних спектрів і референтних ситуацій та розрахунків покриття РЕЗ цифр</w:t>
      </w:r>
      <w:r>
        <w:rPr>
          <w:rFonts w:ascii="Times New Roman" w:hAnsi="Times New Roman"/>
          <w:sz w:val="26"/>
          <w:szCs w:val="26"/>
        </w:rPr>
        <w:t>ового стільникового зв’язку. Да</w:t>
      </w:r>
      <w:r w:rsidRPr="003A29D1">
        <w:rPr>
          <w:rFonts w:ascii="Times New Roman" w:hAnsi="Times New Roman"/>
          <w:sz w:val="26"/>
          <w:szCs w:val="26"/>
        </w:rPr>
        <w:t>на функціональність дасть можливість отримувати оперативний доступ до єдиного джерела даних каліброваних (реальних параметрів РЕЗ) та зо</w:t>
      </w:r>
      <w:r>
        <w:rPr>
          <w:rFonts w:ascii="Times New Roman" w:hAnsi="Times New Roman"/>
          <w:sz w:val="26"/>
          <w:szCs w:val="26"/>
        </w:rPr>
        <w:t>н</w:t>
      </w:r>
      <w:r w:rsidRPr="003A29D1">
        <w:rPr>
          <w:rFonts w:ascii="Times New Roman" w:hAnsi="Times New Roman"/>
          <w:sz w:val="26"/>
          <w:szCs w:val="26"/>
        </w:rPr>
        <w:t xml:space="preserve"> їх покриття по кожному сектору окремо с подальшої публікацією на </w:t>
      </w:r>
      <w:proofErr w:type="spellStart"/>
      <w:r w:rsidRPr="003A29D1">
        <w:rPr>
          <w:rFonts w:ascii="Times New Roman" w:hAnsi="Times New Roman"/>
          <w:sz w:val="26"/>
          <w:szCs w:val="26"/>
        </w:rPr>
        <w:t>геоінформаційних</w:t>
      </w:r>
      <w:proofErr w:type="spellEnd"/>
      <w:r w:rsidRPr="003A29D1">
        <w:rPr>
          <w:rFonts w:ascii="Times New Roman" w:hAnsi="Times New Roman"/>
          <w:sz w:val="26"/>
          <w:szCs w:val="26"/>
        </w:rPr>
        <w:t xml:space="preserve"> ресурсах для </w:t>
      </w:r>
      <w:r w:rsidRPr="003A29D1">
        <w:rPr>
          <w:rFonts w:ascii="Times New Roman" w:hAnsi="Times New Roman"/>
          <w:sz w:val="26"/>
          <w:szCs w:val="26"/>
          <w:lang w:eastAsia="uk-UA"/>
        </w:rPr>
        <w:t>всебічного періодичного інформування споживачів про рівні якості</w:t>
      </w:r>
      <w:r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3A29D1">
        <w:rPr>
          <w:rFonts w:ascii="Times New Roman" w:hAnsi="Times New Roman"/>
          <w:sz w:val="26"/>
          <w:szCs w:val="26"/>
          <w:lang w:eastAsia="uk-UA"/>
        </w:rPr>
        <w:t>телекомунікаційних послуг</w:t>
      </w:r>
      <w:r w:rsidRPr="003A29D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05658" w:rsidRDefault="00305658" w:rsidP="00D0279F">
      <w:pPr>
        <w:widowControl w:val="0"/>
        <w:spacing w:before="120" w:line="269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5658">
        <w:rPr>
          <w:rFonts w:ascii="Times New Roman" w:hAnsi="Times New Roman"/>
          <w:b/>
          <w:bCs/>
          <w:sz w:val="28"/>
          <w:szCs w:val="28"/>
        </w:rPr>
        <w:t>Очікувана вартість предмета закупівлі:</w:t>
      </w:r>
    </w:p>
    <w:p w:rsidR="00BA5349" w:rsidRPr="00305658" w:rsidRDefault="00BA5349" w:rsidP="00BA5349">
      <w:pPr>
        <w:widowControl w:val="0"/>
        <w:spacing w:before="120" w:line="269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05658">
        <w:rPr>
          <w:rFonts w:ascii="Times New Roman" w:hAnsi="Times New Roman"/>
          <w:sz w:val="28"/>
          <w:szCs w:val="28"/>
        </w:rPr>
        <w:t>Очікувана вартість закупівлі послуг була сформована виходячи з аналізу подібних послуг та з урахуванням змін курсу гривні, закладеної до проекту держбюджету України на 202</w:t>
      </w:r>
      <w:r w:rsidR="007B2AD6" w:rsidRPr="00305658">
        <w:rPr>
          <w:rFonts w:ascii="Times New Roman" w:hAnsi="Times New Roman"/>
          <w:sz w:val="28"/>
          <w:szCs w:val="28"/>
        </w:rPr>
        <w:t>1</w:t>
      </w:r>
      <w:r w:rsidRPr="00305658">
        <w:rPr>
          <w:rFonts w:ascii="Times New Roman" w:hAnsi="Times New Roman"/>
          <w:sz w:val="28"/>
          <w:szCs w:val="28"/>
        </w:rPr>
        <w:t xml:space="preserve"> рік, становить близько </w:t>
      </w:r>
      <w:r w:rsidR="006E0443">
        <w:rPr>
          <w:rFonts w:ascii="Times New Roman" w:hAnsi="Times New Roman"/>
          <w:sz w:val="28"/>
          <w:szCs w:val="28"/>
        </w:rPr>
        <w:t>4</w:t>
      </w:r>
      <w:r w:rsidRPr="00305658">
        <w:rPr>
          <w:rFonts w:ascii="Times New Roman" w:hAnsi="Times New Roman"/>
          <w:sz w:val="28"/>
          <w:szCs w:val="28"/>
        </w:rPr>
        <w:t xml:space="preserve"> 000 000,00 грн.</w:t>
      </w:r>
    </w:p>
    <w:p w:rsidR="0079580C" w:rsidRPr="00305658" w:rsidRDefault="0079580C" w:rsidP="00E56332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05658" w:rsidRDefault="00305658" w:rsidP="00E56332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56332" w:rsidRPr="00305658" w:rsidRDefault="00E56332" w:rsidP="006C1ED8">
      <w:pPr>
        <w:widowControl w:val="0"/>
        <w:spacing w:line="268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56332" w:rsidRPr="003056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A4C70"/>
    <w:multiLevelType w:val="hybridMultilevel"/>
    <w:tmpl w:val="6136AD22"/>
    <w:lvl w:ilvl="0" w:tplc="F3CEE11A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D8"/>
    <w:rsid w:val="00132F31"/>
    <w:rsid w:val="001B0993"/>
    <w:rsid w:val="002175A3"/>
    <w:rsid w:val="003023B6"/>
    <w:rsid w:val="00305658"/>
    <w:rsid w:val="003415AE"/>
    <w:rsid w:val="00407290"/>
    <w:rsid w:val="004716A4"/>
    <w:rsid w:val="00516593"/>
    <w:rsid w:val="00516D84"/>
    <w:rsid w:val="00567137"/>
    <w:rsid w:val="00577CF1"/>
    <w:rsid w:val="00577ECC"/>
    <w:rsid w:val="005873D6"/>
    <w:rsid w:val="005B70CC"/>
    <w:rsid w:val="00614AC4"/>
    <w:rsid w:val="00616B23"/>
    <w:rsid w:val="006A07FD"/>
    <w:rsid w:val="006B334B"/>
    <w:rsid w:val="006B37B0"/>
    <w:rsid w:val="006C1ED8"/>
    <w:rsid w:val="006E0443"/>
    <w:rsid w:val="0072428B"/>
    <w:rsid w:val="00724532"/>
    <w:rsid w:val="0075768D"/>
    <w:rsid w:val="00774769"/>
    <w:rsid w:val="0079580C"/>
    <w:rsid w:val="00796096"/>
    <w:rsid w:val="007B2AD6"/>
    <w:rsid w:val="00812AAB"/>
    <w:rsid w:val="00863145"/>
    <w:rsid w:val="0092521C"/>
    <w:rsid w:val="009D40BD"/>
    <w:rsid w:val="009D7E22"/>
    <w:rsid w:val="00A83388"/>
    <w:rsid w:val="00AA4347"/>
    <w:rsid w:val="00BA5349"/>
    <w:rsid w:val="00C30359"/>
    <w:rsid w:val="00D0279F"/>
    <w:rsid w:val="00D5305B"/>
    <w:rsid w:val="00E5633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D8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C1ED8"/>
    <w:rPr>
      <w:sz w:val="20"/>
      <w:szCs w:val="20"/>
    </w:rPr>
  </w:style>
  <w:style w:type="paragraph" w:styleId="a4">
    <w:name w:val="List Paragraph"/>
    <w:basedOn w:val="a"/>
    <w:link w:val="a3"/>
    <w:uiPriority w:val="99"/>
    <w:qFormat/>
    <w:rsid w:val="006C1ED8"/>
    <w:pPr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9D7E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7E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7E22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7E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7E22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7E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E22"/>
    <w:rPr>
      <w:rFonts w:ascii="Tahoma" w:eastAsia="Calibri" w:hAnsi="Tahoma" w:cs="Tahoma"/>
      <w:sz w:val="16"/>
      <w:szCs w:val="16"/>
    </w:rPr>
  </w:style>
  <w:style w:type="character" w:customStyle="1" w:styleId="FontStyle158">
    <w:name w:val="Font Style158"/>
    <w:uiPriority w:val="99"/>
    <w:rsid w:val="005873D6"/>
    <w:rPr>
      <w:rFonts w:ascii="Times New Roman" w:hAnsi="Times New Roman" w:cs="Times New Roman" w:hint="default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D8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6C1ED8"/>
    <w:rPr>
      <w:sz w:val="20"/>
      <w:szCs w:val="20"/>
    </w:rPr>
  </w:style>
  <w:style w:type="paragraph" w:styleId="a4">
    <w:name w:val="List Paragraph"/>
    <w:basedOn w:val="a"/>
    <w:link w:val="a3"/>
    <w:uiPriority w:val="99"/>
    <w:qFormat/>
    <w:rsid w:val="006C1ED8"/>
    <w:pPr>
      <w:ind w:left="720"/>
      <w:contextualSpacing/>
    </w:pPr>
    <w:rPr>
      <w:rFonts w:asciiTheme="minorHAnsi" w:eastAsiaTheme="minorHAnsi" w:hAnsiTheme="minorHAnsi" w:cstheme="minorBidi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9D7E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7E2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7E22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7E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7E22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7E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7E22"/>
    <w:rPr>
      <w:rFonts w:ascii="Tahoma" w:eastAsia="Calibri" w:hAnsi="Tahoma" w:cs="Tahoma"/>
      <w:sz w:val="16"/>
      <w:szCs w:val="16"/>
    </w:rPr>
  </w:style>
  <w:style w:type="character" w:customStyle="1" w:styleId="FontStyle158">
    <w:name w:val="Font Style158"/>
    <w:uiPriority w:val="99"/>
    <w:rsid w:val="005873D6"/>
    <w:rPr>
      <w:rFonts w:ascii="Times New Roman" w:hAnsi="Times New Roman" w:cs="Times New Roman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0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UCRF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СУНКО Юрій Віталійович</cp:lastModifiedBy>
  <cp:revision>2</cp:revision>
  <cp:lastPrinted>2021-10-05T05:30:00Z</cp:lastPrinted>
  <dcterms:created xsi:type="dcterms:W3CDTF">2021-12-16T11:07:00Z</dcterms:created>
  <dcterms:modified xsi:type="dcterms:W3CDTF">2021-12-16T11:07:00Z</dcterms:modified>
</cp:coreProperties>
</file>