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C80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Обґрунтування</w:t>
      </w:r>
    </w:p>
    <w:p w:rsidR="003971BA" w:rsidRDefault="003971BA" w:rsidP="00940C80">
      <w:pPr>
        <w:pStyle w:val="Default"/>
        <w:jc w:val="center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>технічних та якісних характеристик, очікуваної вартості</w:t>
      </w:r>
    </w:p>
    <w:p w:rsidR="00940C80" w:rsidRPr="003971BA" w:rsidRDefault="00940C80" w:rsidP="00940C80">
      <w:pPr>
        <w:pStyle w:val="Default"/>
        <w:jc w:val="center"/>
        <w:rPr>
          <w:sz w:val="28"/>
          <w:szCs w:val="28"/>
        </w:rPr>
      </w:pPr>
    </w:p>
    <w:p w:rsidR="003971BA" w:rsidRDefault="003971BA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836CF8">
        <w:rPr>
          <w:rFonts w:ascii="Times New Roman" w:hAnsi="Times New Roman"/>
          <w:b/>
          <w:bCs/>
          <w:sz w:val="28"/>
          <w:szCs w:val="28"/>
        </w:rPr>
        <w:t xml:space="preserve">Предмет закупівлі: </w:t>
      </w:r>
      <w:r w:rsidRPr="00836CF8">
        <w:rPr>
          <w:rFonts w:ascii="Times New Roman" w:hAnsi="Times New Roman"/>
          <w:sz w:val="28"/>
          <w:szCs w:val="28"/>
        </w:rPr>
        <w:t xml:space="preserve">ДК 021:2015 </w:t>
      </w:r>
      <w:r w:rsidR="00A3650C" w:rsidRPr="00A3650C">
        <w:rPr>
          <w:rFonts w:ascii="Times New Roman" w:hAnsi="Times New Roman"/>
          <w:sz w:val="28"/>
          <w:szCs w:val="28"/>
        </w:rPr>
        <w:t xml:space="preserve">30210000-4 Машини для обробки даних (апаратна частина) </w:t>
      </w:r>
      <w:r w:rsidRPr="006255D4">
        <w:rPr>
          <w:rFonts w:ascii="Times New Roman" w:hAnsi="Times New Roman"/>
          <w:sz w:val="28"/>
          <w:szCs w:val="28"/>
        </w:rPr>
        <w:t>(</w:t>
      </w:r>
      <w:r w:rsidR="00A3650C" w:rsidRPr="00A3650C">
        <w:rPr>
          <w:rFonts w:ascii="Times New Roman" w:eastAsia="Times New Roman" w:hAnsi="Times New Roman"/>
          <w:b/>
          <w:sz w:val="28"/>
          <w:szCs w:val="28"/>
          <w:lang w:eastAsia="ru-RU"/>
        </w:rPr>
        <w:t>Закупівля персональних комп'ютерів, моніторів та серверів</w:t>
      </w:r>
      <w:r w:rsidRPr="006255D4">
        <w:rPr>
          <w:rFonts w:ascii="Times New Roman" w:eastAsiaTheme="minorHAnsi" w:hAnsi="Times New Roman"/>
          <w:color w:val="000000"/>
          <w:sz w:val="28"/>
          <w:szCs w:val="28"/>
        </w:rPr>
        <w:t>)</w:t>
      </w:r>
      <w:r w:rsidRPr="006255D4">
        <w:rPr>
          <w:rFonts w:ascii="Times New Roman" w:hAnsi="Times New Roman"/>
          <w:sz w:val="28"/>
          <w:szCs w:val="28"/>
        </w:rPr>
        <w:t xml:space="preserve">. </w:t>
      </w:r>
    </w:p>
    <w:p w:rsidR="00363D80" w:rsidRPr="006255D4" w:rsidRDefault="00363D80" w:rsidP="009F1696">
      <w:pPr>
        <w:widowControl w:val="0"/>
        <w:tabs>
          <w:tab w:val="left" w:pos="851"/>
        </w:tabs>
        <w:spacing w:before="120" w:line="268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971BA" w:rsidRPr="003971BA" w:rsidRDefault="003971BA" w:rsidP="009F1696">
      <w:pPr>
        <w:pStyle w:val="Default"/>
        <w:jc w:val="both"/>
        <w:rPr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Технічні та якісні характеристики предмета закупівлі: </w:t>
      </w:r>
    </w:p>
    <w:p w:rsidR="00856931" w:rsidRDefault="00A3650C" w:rsidP="00856931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8569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ерсональні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комп’ютери</w:t>
      </w:r>
      <w:r w:rsidR="0085693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монітори, якими облаштовані робочі місцях працівників технічно застарівають, системно не підтримують навантажень, які створює новітнє спеціальне та загальне програмне забезпечення, незадовільно здійснюють оброку та візуалізацію графічних зображень, виходять з ладу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та потребують планової заміни.</w:t>
      </w:r>
    </w:p>
    <w:p w:rsidR="00A3650C" w:rsidRDefault="00A3650C" w:rsidP="00856931">
      <w:pPr>
        <w:pStyle w:val="1"/>
        <w:pBdr>
          <w:top w:val="nil"/>
          <w:left w:val="nil"/>
          <w:bottom w:val="nil"/>
          <w:right w:val="nil"/>
          <w:between w:val="nil"/>
        </w:pBdr>
        <w:spacing w:line="269" w:lineRule="auto"/>
        <w:ind w:left="0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Крім того на застарілих комп’ютерах в підрозділах УДЦР та філіях встановлене застаріле програмне забезпечення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Windows</w:t>
      </w:r>
      <w:r w:rsidRPr="00A3650C">
        <w:rPr>
          <w:rFonts w:ascii="Times New Roman" w:eastAsia="Times New Roman" w:hAnsi="Times New Roman" w:cs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XP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яке морально застаріло та не підлягає оновленню. Зазначені комп’ютери не можуть використовуватись в мережах підприємства і підлягають заміні.</w:t>
      </w:r>
    </w:p>
    <w:p w:rsidR="009F1696" w:rsidRDefault="003971BA" w:rsidP="009F1696">
      <w:pPr>
        <w:pStyle w:val="Default"/>
        <w:jc w:val="both"/>
        <w:rPr>
          <w:b/>
          <w:bCs/>
          <w:sz w:val="28"/>
          <w:szCs w:val="28"/>
        </w:rPr>
      </w:pPr>
      <w:r w:rsidRPr="003971BA">
        <w:rPr>
          <w:b/>
          <w:bCs/>
          <w:sz w:val="28"/>
          <w:szCs w:val="28"/>
        </w:rPr>
        <w:t xml:space="preserve">Очікувана вартість предмета закупівлі: </w:t>
      </w:r>
    </w:p>
    <w:p w:rsidR="00DE1955" w:rsidRPr="00E36372" w:rsidRDefault="007506F5" w:rsidP="00E36372">
      <w:p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36372">
        <w:rPr>
          <w:rFonts w:ascii="Times New Roman" w:hAnsi="Times New Roman"/>
          <w:sz w:val="28"/>
          <w:szCs w:val="28"/>
          <w:lang w:eastAsia="ru-RU"/>
        </w:rPr>
        <w:t xml:space="preserve">Очікувана вартість предмета закупівлі: очікувана вартість визначена відповідно до процедур, які зазначені у примірній методиці визначення очікуваної вартості предмета закупівлі, введеної наказом Міністерства розвитку економіки, торгівлі та сільського господарства України від 18.02.2020 №275 «Про затвердження примірної методики визначення очікуваної вартості предмета закупівлі». </w:t>
      </w:r>
      <w:r w:rsidR="00DE1955" w:rsidRPr="00E36372">
        <w:rPr>
          <w:rFonts w:ascii="Times New Roman" w:hAnsi="Times New Roman"/>
          <w:sz w:val="28"/>
          <w:szCs w:val="28"/>
          <w:lang w:eastAsia="ru-RU"/>
        </w:rPr>
        <w:t xml:space="preserve">На </w:t>
      </w:r>
      <w:r w:rsidR="00000AC2" w:rsidRPr="00E36372">
        <w:rPr>
          <w:rFonts w:ascii="Times New Roman" w:hAnsi="Times New Roman"/>
          <w:sz w:val="28"/>
          <w:szCs w:val="28"/>
          <w:lang w:eastAsia="ru-RU"/>
        </w:rPr>
        <w:t xml:space="preserve">підставі аналізу аналогічних пропозицій </w:t>
      </w:r>
      <w:r w:rsidR="00D755D8">
        <w:rPr>
          <w:rFonts w:ascii="Times New Roman" w:hAnsi="Times New Roman"/>
          <w:sz w:val="28"/>
          <w:szCs w:val="28"/>
          <w:lang w:eastAsia="ru-RU"/>
        </w:rPr>
        <w:t>потенційних учасників торгів,</w:t>
      </w:r>
      <w:r w:rsidR="00481C85">
        <w:rPr>
          <w:rFonts w:ascii="Times New Roman" w:hAnsi="Times New Roman"/>
          <w:sz w:val="28"/>
          <w:szCs w:val="28"/>
          <w:lang w:eastAsia="ru-RU"/>
        </w:rPr>
        <w:t xml:space="preserve"> а також шляхом аналізу цін на ринку аналогічних товарів.</w:t>
      </w:r>
      <w:r w:rsidR="00D755D8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481C85">
        <w:rPr>
          <w:rFonts w:ascii="Times New Roman" w:hAnsi="Times New Roman"/>
          <w:sz w:val="28"/>
          <w:szCs w:val="28"/>
          <w:lang w:eastAsia="ru-RU"/>
        </w:rPr>
        <w:t>О</w:t>
      </w:r>
      <w:r w:rsidR="00836CF8" w:rsidRPr="00836CF8">
        <w:rPr>
          <w:rFonts w:ascii="Times New Roman" w:hAnsi="Times New Roman"/>
          <w:sz w:val="28"/>
          <w:szCs w:val="28"/>
          <w:lang w:eastAsia="ru-RU"/>
        </w:rPr>
        <w:t>рієнтовна</w:t>
      </w:r>
      <w:r w:rsidR="00836CF8">
        <w:rPr>
          <w:rFonts w:ascii="Times New Roman" w:hAnsi="Times New Roman"/>
          <w:sz w:val="28"/>
          <w:szCs w:val="28"/>
          <w:lang w:eastAsia="ru-RU"/>
        </w:rPr>
        <w:t xml:space="preserve"> вартість закупівлі складає </w:t>
      </w:r>
      <w:r w:rsidR="00A3650C">
        <w:rPr>
          <w:rFonts w:ascii="Times New Roman" w:hAnsi="Times New Roman"/>
          <w:sz w:val="28"/>
          <w:szCs w:val="28"/>
          <w:lang w:eastAsia="ru-RU"/>
        </w:rPr>
        <w:t>1 5</w:t>
      </w:r>
      <w:r w:rsidR="00856931">
        <w:rPr>
          <w:rFonts w:ascii="Times New Roman" w:hAnsi="Times New Roman"/>
          <w:sz w:val="28"/>
          <w:szCs w:val="28"/>
          <w:lang w:eastAsia="ru-RU"/>
        </w:rPr>
        <w:t>00</w:t>
      </w:r>
      <w:r w:rsidR="00836CF8">
        <w:rPr>
          <w:rFonts w:ascii="Times New Roman" w:hAnsi="Times New Roman"/>
          <w:sz w:val="28"/>
          <w:szCs w:val="28"/>
          <w:lang w:eastAsia="ru-RU"/>
        </w:rPr>
        <w:t> </w:t>
      </w:r>
      <w:r w:rsidR="00836CF8" w:rsidRPr="00836CF8">
        <w:rPr>
          <w:rFonts w:ascii="Times New Roman" w:hAnsi="Times New Roman"/>
          <w:sz w:val="28"/>
          <w:szCs w:val="28"/>
          <w:lang w:eastAsia="ru-RU"/>
        </w:rPr>
        <w:t>000,</w:t>
      </w:r>
      <w:r w:rsidR="00856931">
        <w:rPr>
          <w:rFonts w:ascii="Times New Roman" w:hAnsi="Times New Roman"/>
          <w:sz w:val="28"/>
          <w:szCs w:val="28"/>
          <w:lang w:eastAsia="ru-RU"/>
        </w:rPr>
        <w:t>00 грн.</w:t>
      </w:r>
    </w:p>
    <w:p w:rsidR="00D755D8" w:rsidRDefault="00D755D8" w:rsidP="00DE1955">
      <w:pPr>
        <w:pStyle w:val="a4"/>
        <w:ind w:left="0" w:firstLine="567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755D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77C61"/>
    <w:multiLevelType w:val="multilevel"/>
    <w:tmpl w:val="F0D6C0C8"/>
    <w:lvl w:ilvl="0">
      <w:start w:val="1"/>
      <w:numFmt w:val="bullet"/>
      <w:lvlText w:val="●"/>
      <w:lvlJc w:val="left"/>
      <w:pPr>
        <w:ind w:left="1495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215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935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55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75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95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815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535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55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337833CD"/>
    <w:multiLevelType w:val="multilevel"/>
    <w:tmpl w:val="0750F150"/>
    <w:lvl w:ilvl="0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931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651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71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91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11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31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251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71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79FF73BA"/>
    <w:multiLevelType w:val="hybridMultilevel"/>
    <w:tmpl w:val="D8F83C10"/>
    <w:lvl w:ilvl="0" w:tplc="63DC6E7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71BA"/>
    <w:rsid w:val="00000AC2"/>
    <w:rsid w:val="001B0993"/>
    <w:rsid w:val="002F1640"/>
    <w:rsid w:val="00363D80"/>
    <w:rsid w:val="003971BA"/>
    <w:rsid w:val="00407290"/>
    <w:rsid w:val="004716A4"/>
    <w:rsid w:val="00481C85"/>
    <w:rsid w:val="00516593"/>
    <w:rsid w:val="00516D84"/>
    <w:rsid w:val="00567137"/>
    <w:rsid w:val="00577ECC"/>
    <w:rsid w:val="00580EB6"/>
    <w:rsid w:val="005B70CC"/>
    <w:rsid w:val="006255D4"/>
    <w:rsid w:val="006A07FD"/>
    <w:rsid w:val="00724532"/>
    <w:rsid w:val="007506F5"/>
    <w:rsid w:val="00763125"/>
    <w:rsid w:val="00774769"/>
    <w:rsid w:val="00836CF8"/>
    <w:rsid w:val="00856931"/>
    <w:rsid w:val="00863145"/>
    <w:rsid w:val="008E6074"/>
    <w:rsid w:val="008F0775"/>
    <w:rsid w:val="0092521C"/>
    <w:rsid w:val="00940C80"/>
    <w:rsid w:val="009D40BD"/>
    <w:rsid w:val="009F1696"/>
    <w:rsid w:val="00A3650C"/>
    <w:rsid w:val="00AA4347"/>
    <w:rsid w:val="00C26DE0"/>
    <w:rsid w:val="00C30359"/>
    <w:rsid w:val="00C6338F"/>
    <w:rsid w:val="00D5305B"/>
    <w:rsid w:val="00D755D8"/>
    <w:rsid w:val="00D81241"/>
    <w:rsid w:val="00DE1955"/>
    <w:rsid w:val="00E36372"/>
    <w:rsid w:val="00E75DB4"/>
    <w:rsid w:val="00E82186"/>
    <w:rsid w:val="00EA6218"/>
    <w:rsid w:val="00EA6EBE"/>
    <w:rsid w:val="00EB3318"/>
    <w:rsid w:val="00EC62F3"/>
    <w:rsid w:val="00F441A2"/>
    <w:rsid w:val="00F91B06"/>
    <w:rsid w:val="00FC7AD3"/>
    <w:rsid w:val="00FD5094"/>
    <w:rsid w:val="00FF5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customStyle="1" w:styleId="1">
    <w:name w:val="Обычный1"/>
    <w:rsid w:val="00856931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1BA"/>
    <w:pPr>
      <w:spacing w:after="0" w:line="240" w:lineRule="auto"/>
      <w:ind w:left="3827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3971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3">
    <w:name w:val="Абзац списка Знак"/>
    <w:aliases w:val="заголовок 1.1 Знак,название табл/рис Знак"/>
    <w:link w:val="a4"/>
    <w:uiPriority w:val="34"/>
    <w:locked/>
    <w:rsid w:val="00DE1955"/>
  </w:style>
  <w:style w:type="paragraph" w:styleId="a4">
    <w:name w:val="List Paragraph"/>
    <w:aliases w:val="заголовок 1.1,название табл/рис"/>
    <w:basedOn w:val="a"/>
    <w:link w:val="a3"/>
    <w:uiPriority w:val="34"/>
    <w:qFormat/>
    <w:rsid w:val="00DE1955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a5">
    <w:name w:val="Balloon Text"/>
    <w:basedOn w:val="a"/>
    <w:link w:val="a6"/>
    <w:uiPriority w:val="99"/>
    <w:semiHidden/>
    <w:unhideWhenUsed/>
    <w:rsid w:val="00D8124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1241"/>
    <w:rPr>
      <w:rFonts w:ascii="Segoe UI" w:eastAsia="Calibri" w:hAnsi="Segoe UI" w:cs="Segoe UI"/>
      <w:sz w:val="18"/>
      <w:szCs w:val="18"/>
    </w:rPr>
  </w:style>
  <w:style w:type="character" w:styleId="a7">
    <w:name w:val="Hyperlink"/>
    <w:basedOn w:val="a0"/>
    <w:uiPriority w:val="99"/>
    <w:unhideWhenUsed/>
    <w:rsid w:val="00C26DE0"/>
    <w:rPr>
      <w:color w:val="0000FF" w:themeColor="hyperlink"/>
      <w:u w:val="single"/>
    </w:rPr>
  </w:style>
  <w:style w:type="paragraph" w:customStyle="1" w:styleId="1">
    <w:name w:val="Обычный1"/>
    <w:rsid w:val="00856931"/>
    <w:pPr>
      <w:spacing w:after="0" w:line="240" w:lineRule="auto"/>
      <w:ind w:left="3827"/>
    </w:pPr>
    <w:rPr>
      <w:rFonts w:ascii="Calibri" w:eastAsia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935</Words>
  <Characters>534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Гниденко Олег Николаевич</dc:creator>
  <cp:keywords/>
  <dc:description/>
  <cp:lastModifiedBy>ІЛЮК Віталій Іванович</cp:lastModifiedBy>
  <cp:revision>3</cp:revision>
  <cp:lastPrinted>2021-03-09T07:41:00Z</cp:lastPrinted>
  <dcterms:created xsi:type="dcterms:W3CDTF">2021-10-12T13:09:00Z</dcterms:created>
  <dcterms:modified xsi:type="dcterms:W3CDTF">2021-12-16T12:04:00Z</dcterms:modified>
</cp:coreProperties>
</file>