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22" w:rsidRPr="00C15BE4" w:rsidRDefault="00677B22" w:rsidP="00677B22">
      <w:pPr>
        <w:shd w:val="clear" w:color="auto" w:fill="FFFFFF"/>
        <w:tabs>
          <w:tab w:val="left" w:leader="underscore" w:pos="2040"/>
        </w:tabs>
        <w:spacing w:line="298" w:lineRule="exact"/>
        <w:ind w:right="58"/>
        <w:jc w:val="center"/>
        <w:rPr>
          <w:b/>
          <w:bCs/>
          <w:color w:val="auto"/>
          <w:spacing w:val="-9"/>
          <w:sz w:val="24"/>
          <w:szCs w:val="24"/>
          <w:u w:val="none"/>
        </w:rPr>
      </w:pPr>
    </w:p>
    <w:p w:rsidR="00677B22" w:rsidRPr="00C15BE4" w:rsidRDefault="00677B22" w:rsidP="00677B22">
      <w:pPr>
        <w:shd w:val="clear" w:color="auto" w:fill="FFFFFF"/>
        <w:tabs>
          <w:tab w:val="left" w:leader="underscore" w:pos="2040"/>
        </w:tabs>
        <w:spacing w:line="298" w:lineRule="exact"/>
        <w:ind w:right="58"/>
        <w:jc w:val="center"/>
        <w:rPr>
          <w:color w:val="auto"/>
          <w:sz w:val="24"/>
          <w:szCs w:val="24"/>
          <w:u w:val="none"/>
        </w:rPr>
      </w:pPr>
      <w:r w:rsidRPr="00C15BE4">
        <w:rPr>
          <w:b/>
          <w:bCs/>
          <w:color w:val="auto"/>
          <w:spacing w:val="-9"/>
          <w:sz w:val="24"/>
          <w:szCs w:val="24"/>
          <w:u w:val="none"/>
        </w:rPr>
        <w:t xml:space="preserve">Договір № </w:t>
      </w:r>
      <w:r w:rsidR="00F7184F" w:rsidRPr="00C15BE4">
        <w:rPr>
          <w:b/>
          <w:bCs/>
          <w:color w:val="auto"/>
          <w:spacing w:val="-9"/>
          <w:sz w:val="24"/>
          <w:szCs w:val="24"/>
          <w:u w:val="none"/>
          <w:lang w:val="ru-RU"/>
        </w:rPr>
        <w:t xml:space="preserve"> </w:t>
      </w:r>
      <w:r w:rsidR="00F7184F" w:rsidRPr="00C15BE4">
        <w:rPr>
          <w:i/>
          <w:sz w:val="24"/>
          <w:szCs w:val="24"/>
          <w:u w:val="none"/>
        </w:rPr>
        <w:t>(заповнюється УДЦР)</w:t>
      </w:r>
    </w:p>
    <w:p w:rsidR="00677B22" w:rsidRPr="00C15BE4" w:rsidRDefault="00677B22" w:rsidP="00677B22">
      <w:pPr>
        <w:shd w:val="clear" w:color="auto" w:fill="FFFFFF"/>
        <w:tabs>
          <w:tab w:val="left" w:pos="6034"/>
          <w:tab w:val="left" w:leader="underscore" w:pos="6547"/>
          <w:tab w:val="left" w:leader="underscore" w:pos="8136"/>
        </w:tabs>
        <w:jc w:val="center"/>
        <w:rPr>
          <w:b/>
          <w:bCs/>
          <w:color w:val="auto"/>
          <w:spacing w:val="-6"/>
          <w:sz w:val="24"/>
          <w:szCs w:val="24"/>
          <w:u w:val="none"/>
        </w:rPr>
      </w:pPr>
      <w:r w:rsidRPr="00C15BE4">
        <w:rPr>
          <w:color w:val="000000"/>
          <w:sz w:val="24"/>
          <w:szCs w:val="24"/>
          <w:u w:val="none"/>
        </w:rPr>
        <w:t xml:space="preserve"> </w:t>
      </w:r>
      <w:r w:rsidRPr="00C15BE4">
        <w:rPr>
          <w:b/>
          <w:color w:val="auto"/>
          <w:sz w:val="24"/>
          <w:szCs w:val="24"/>
          <w:u w:val="none"/>
        </w:rPr>
        <w:t>про</w:t>
      </w:r>
      <w:r w:rsidRPr="00C15BE4">
        <w:rPr>
          <w:b/>
          <w:bCs/>
          <w:color w:val="auto"/>
          <w:spacing w:val="-6"/>
          <w:sz w:val="24"/>
          <w:szCs w:val="24"/>
          <w:u w:val="none"/>
        </w:rPr>
        <w:t xml:space="preserve"> виконання робіт з виявлення джерел радіозавад </w:t>
      </w:r>
    </w:p>
    <w:p w:rsidR="00677B22" w:rsidRPr="00C15BE4" w:rsidRDefault="00677B22" w:rsidP="00677B22">
      <w:pPr>
        <w:shd w:val="clear" w:color="auto" w:fill="FFFFFF"/>
        <w:tabs>
          <w:tab w:val="left" w:pos="6034"/>
          <w:tab w:val="left" w:leader="underscore" w:pos="6547"/>
          <w:tab w:val="left" w:leader="underscore" w:pos="8136"/>
        </w:tabs>
        <w:jc w:val="center"/>
        <w:rPr>
          <w:b/>
          <w:bCs/>
          <w:color w:val="auto"/>
          <w:spacing w:val="-6"/>
          <w:sz w:val="24"/>
          <w:szCs w:val="24"/>
          <w:u w:val="none"/>
        </w:rPr>
      </w:pPr>
    </w:p>
    <w:p w:rsidR="00677B22" w:rsidRPr="00C15BE4" w:rsidRDefault="00677B22" w:rsidP="00677B22">
      <w:pPr>
        <w:shd w:val="clear" w:color="auto" w:fill="FFFFFF"/>
        <w:tabs>
          <w:tab w:val="left" w:pos="6034"/>
          <w:tab w:val="left" w:leader="underscore" w:pos="6547"/>
          <w:tab w:val="left" w:leader="underscore" w:pos="8136"/>
        </w:tabs>
        <w:jc w:val="center"/>
        <w:rPr>
          <w:color w:val="auto"/>
          <w:sz w:val="24"/>
          <w:szCs w:val="24"/>
          <w:u w:val="none"/>
        </w:rPr>
      </w:pPr>
      <w:r w:rsidRPr="00C15BE4">
        <w:rPr>
          <w:color w:val="auto"/>
          <w:sz w:val="24"/>
          <w:szCs w:val="24"/>
          <w:u w:val="none"/>
        </w:rPr>
        <w:t>м. Київ</w:t>
      </w:r>
      <w:r w:rsidRPr="00C15BE4">
        <w:rPr>
          <w:color w:val="auto"/>
          <w:sz w:val="24"/>
          <w:szCs w:val="24"/>
          <w:u w:val="none"/>
        </w:rPr>
        <w:tab/>
      </w:r>
      <w:r w:rsidRPr="00C15BE4">
        <w:rPr>
          <w:color w:val="auto"/>
          <w:spacing w:val="-10"/>
          <w:sz w:val="24"/>
          <w:szCs w:val="24"/>
          <w:u w:val="none"/>
        </w:rPr>
        <w:t>«</w:t>
      </w:r>
      <w:r w:rsidRPr="00C15BE4">
        <w:rPr>
          <w:color w:val="auto"/>
          <w:sz w:val="24"/>
          <w:szCs w:val="24"/>
          <w:u w:val="none"/>
        </w:rPr>
        <w:t>___»__________20 ___ року</w:t>
      </w:r>
    </w:p>
    <w:p w:rsidR="00677B22" w:rsidRPr="00C15BE4" w:rsidRDefault="00677B22" w:rsidP="00677B22">
      <w:pPr>
        <w:shd w:val="clear" w:color="auto" w:fill="FFFFFF"/>
        <w:tabs>
          <w:tab w:val="left" w:pos="6034"/>
          <w:tab w:val="left" w:leader="underscore" w:pos="6547"/>
          <w:tab w:val="left" w:leader="underscore" w:pos="8136"/>
        </w:tabs>
        <w:jc w:val="center"/>
        <w:rPr>
          <w:b/>
          <w:color w:val="auto"/>
          <w:sz w:val="24"/>
          <w:szCs w:val="24"/>
          <w:u w:val="none"/>
        </w:rPr>
      </w:pPr>
    </w:p>
    <w:p w:rsidR="00677B22" w:rsidRPr="00C15BE4" w:rsidRDefault="00677B22" w:rsidP="00677B22">
      <w:pPr>
        <w:shd w:val="clear" w:color="auto" w:fill="FFFFFF"/>
        <w:spacing w:before="134"/>
        <w:ind w:left="14"/>
        <w:jc w:val="both"/>
        <w:rPr>
          <w:color w:val="auto"/>
          <w:sz w:val="24"/>
          <w:szCs w:val="24"/>
          <w:u w:val="none"/>
        </w:rPr>
      </w:pPr>
      <w:r w:rsidRPr="00C15BE4">
        <w:rPr>
          <w:b/>
          <w:bCs/>
          <w:color w:val="auto"/>
          <w:spacing w:val="-3"/>
          <w:sz w:val="24"/>
          <w:szCs w:val="24"/>
          <w:u w:val="none"/>
        </w:rPr>
        <w:t>Виконавець: Державне підприємство «Український державний центр радіочастот»</w:t>
      </w:r>
      <w:r w:rsidRPr="00C15BE4">
        <w:rPr>
          <w:bCs/>
          <w:color w:val="auto"/>
          <w:spacing w:val="-3"/>
          <w:sz w:val="24"/>
          <w:szCs w:val="24"/>
          <w:u w:val="none"/>
        </w:rPr>
        <w:t xml:space="preserve">, </w:t>
      </w:r>
      <w:r w:rsidRPr="00C15BE4">
        <w:rPr>
          <w:color w:val="auto"/>
          <w:spacing w:val="-3"/>
          <w:sz w:val="24"/>
          <w:szCs w:val="24"/>
          <w:u w:val="none"/>
        </w:rPr>
        <w:t>в особ</w:t>
      </w:r>
      <w:r w:rsidRPr="00C15BE4">
        <w:rPr>
          <w:color w:val="auto"/>
          <w:sz w:val="24"/>
          <w:szCs w:val="24"/>
          <w:u w:val="none"/>
        </w:rPr>
        <w:t>і</w:t>
      </w:r>
      <w:r w:rsidR="00C15BE4" w:rsidRPr="00C15BE4">
        <w:rPr>
          <w:sz w:val="24"/>
          <w:szCs w:val="24"/>
        </w:rPr>
        <w:t xml:space="preserve"> </w:t>
      </w:r>
      <w:r w:rsidR="00C15BE4" w:rsidRPr="00C15BE4">
        <w:rPr>
          <w:color w:val="auto"/>
          <w:sz w:val="24"/>
          <w:szCs w:val="24"/>
          <w:u w:val="none"/>
        </w:rPr>
        <w:t xml:space="preserve">директора з радіочастотного моніторингу та питань РЕЗ Миколи Ковальчука, який діє на підставі довіреності від 11.12.2024 № 80/07.1/38/24, </w:t>
      </w:r>
      <w:r w:rsidRPr="00C15BE4">
        <w:rPr>
          <w:color w:val="auto"/>
          <w:spacing w:val="-5"/>
          <w:sz w:val="24"/>
          <w:szCs w:val="24"/>
          <w:u w:val="none"/>
        </w:rPr>
        <w:t>з однієї сторони, та</w:t>
      </w:r>
    </w:p>
    <w:p w:rsidR="00677B22" w:rsidRPr="00C15BE4" w:rsidRDefault="00677B22" w:rsidP="00F7184F">
      <w:pPr>
        <w:shd w:val="clear" w:color="auto" w:fill="FFFFFF"/>
        <w:tabs>
          <w:tab w:val="left" w:leader="underscore" w:pos="4046"/>
          <w:tab w:val="left" w:leader="underscore" w:pos="8294"/>
        </w:tabs>
        <w:ind w:left="10"/>
        <w:jc w:val="both"/>
        <w:rPr>
          <w:color w:val="auto"/>
          <w:sz w:val="24"/>
          <w:szCs w:val="24"/>
          <w:u w:val="none"/>
        </w:rPr>
      </w:pPr>
      <w:r w:rsidRPr="00C15BE4">
        <w:rPr>
          <w:b/>
          <w:bCs/>
          <w:color w:val="auto"/>
          <w:spacing w:val="-10"/>
          <w:sz w:val="24"/>
          <w:szCs w:val="24"/>
          <w:u w:val="none"/>
        </w:rPr>
        <w:t xml:space="preserve">Замовник: </w:t>
      </w:r>
      <w:r w:rsidR="00F7184F" w:rsidRPr="00C15BE4">
        <w:rPr>
          <w:color w:val="auto"/>
          <w:sz w:val="24"/>
          <w:szCs w:val="24"/>
          <w:u w:val="none"/>
        </w:rPr>
        <w:t>_________________________________________________</w:t>
      </w:r>
      <w:r w:rsidR="00C15BE4" w:rsidRPr="00C15BE4">
        <w:rPr>
          <w:color w:val="auto"/>
          <w:sz w:val="24"/>
          <w:szCs w:val="24"/>
          <w:u w:val="none"/>
        </w:rPr>
        <w:t>_________</w:t>
      </w:r>
      <w:r w:rsidRPr="00C15BE4">
        <w:rPr>
          <w:color w:val="auto"/>
          <w:sz w:val="24"/>
          <w:szCs w:val="24"/>
          <w:u w:val="none"/>
        </w:rPr>
        <w:t xml:space="preserve">, </w:t>
      </w:r>
      <w:r w:rsidRPr="00C15BE4">
        <w:rPr>
          <w:bCs/>
          <w:color w:val="auto"/>
          <w:sz w:val="24"/>
          <w:szCs w:val="24"/>
          <w:u w:val="none"/>
        </w:rPr>
        <w:t xml:space="preserve">в особі </w:t>
      </w:r>
      <w:r w:rsidR="00C15BE4" w:rsidRPr="00C15BE4">
        <w:rPr>
          <w:color w:val="auto"/>
          <w:sz w:val="24"/>
          <w:szCs w:val="24"/>
          <w:u w:val="none"/>
        </w:rPr>
        <w:t>_____________________________________________</w:t>
      </w:r>
      <w:r w:rsidRPr="00C15BE4">
        <w:rPr>
          <w:color w:val="auto"/>
          <w:sz w:val="24"/>
          <w:szCs w:val="24"/>
          <w:u w:val="none"/>
        </w:rPr>
        <w:t>, який діє на</w:t>
      </w:r>
      <w:r w:rsidR="00F7184F" w:rsidRPr="00C15BE4">
        <w:rPr>
          <w:color w:val="auto"/>
          <w:sz w:val="24"/>
          <w:szCs w:val="24"/>
          <w:u w:val="none"/>
        </w:rPr>
        <w:t xml:space="preserve"> </w:t>
      </w:r>
      <w:r w:rsidRPr="00C15BE4">
        <w:rPr>
          <w:color w:val="auto"/>
          <w:spacing w:val="-9"/>
          <w:sz w:val="24"/>
          <w:szCs w:val="24"/>
          <w:u w:val="none"/>
        </w:rPr>
        <w:t>підставі</w:t>
      </w:r>
      <w:r w:rsidR="00C15BE4" w:rsidRPr="00C15BE4">
        <w:rPr>
          <w:color w:val="auto"/>
          <w:sz w:val="24"/>
          <w:szCs w:val="24"/>
          <w:u w:val="none"/>
        </w:rPr>
        <w:t xml:space="preserve"> ______________________________________</w:t>
      </w:r>
      <w:r w:rsidRPr="00C15BE4">
        <w:rPr>
          <w:color w:val="auto"/>
          <w:spacing w:val="-2"/>
          <w:sz w:val="24"/>
          <w:szCs w:val="24"/>
          <w:u w:val="none"/>
        </w:rPr>
        <w:t xml:space="preserve">, з другої сторони (далі </w:t>
      </w:r>
      <w:r w:rsidRPr="00C15BE4">
        <w:rPr>
          <w:color w:val="auto"/>
          <w:spacing w:val="-3"/>
          <w:sz w:val="24"/>
          <w:szCs w:val="24"/>
          <w:u w:val="none"/>
        </w:rPr>
        <w:t xml:space="preserve">– </w:t>
      </w:r>
      <w:r w:rsidRPr="00C15BE4">
        <w:rPr>
          <w:color w:val="auto"/>
          <w:spacing w:val="-2"/>
          <w:sz w:val="24"/>
          <w:szCs w:val="24"/>
          <w:u w:val="none"/>
        </w:rPr>
        <w:t xml:space="preserve">Сторона, а разом </w:t>
      </w:r>
      <w:r w:rsidRPr="00C15BE4">
        <w:rPr>
          <w:color w:val="auto"/>
          <w:spacing w:val="-3"/>
          <w:sz w:val="24"/>
          <w:szCs w:val="24"/>
          <w:u w:val="none"/>
        </w:rPr>
        <w:t>–</w:t>
      </w:r>
      <w:r w:rsidRPr="00C15BE4">
        <w:rPr>
          <w:color w:val="auto"/>
          <w:spacing w:val="-2"/>
          <w:sz w:val="24"/>
          <w:szCs w:val="24"/>
          <w:u w:val="none"/>
        </w:rPr>
        <w:t xml:space="preserve"> Сторони), уклали цей</w:t>
      </w:r>
      <w:r w:rsidR="00F7184F" w:rsidRPr="00C15BE4">
        <w:rPr>
          <w:color w:val="auto"/>
          <w:sz w:val="24"/>
          <w:szCs w:val="24"/>
          <w:u w:val="none"/>
        </w:rPr>
        <w:t xml:space="preserve"> </w:t>
      </w:r>
      <w:r w:rsidRPr="00C15BE4">
        <w:rPr>
          <w:color w:val="auto"/>
          <w:spacing w:val="-11"/>
          <w:sz w:val="24"/>
          <w:szCs w:val="24"/>
          <w:u w:val="none"/>
        </w:rPr>
        <w:t>Договір №</w:t>
      </w:r>
      <w:r w:rsidR="00F7184F" w:rsidRPr="00C15BE4">
        <w:rPr>
          <w:color w:val="auto"/>
          <w:spacing w:val="-11"/>
          <w:sz w:val="24"/>
          <w:szCs w:val="24"/>
          <w:u w:val="none"/>
        </w:rPr>
        <w:t>____________________</w:t>
      </w:r>
      <w:r w:rsidRPr="00C15BE4">
        <w:rPr>
          <w:color w:val="auto"/>
          <w:spacing w:val="-5"/>
          <w:sz w:val="24"/>
          <w:szCs w:val="24"/>
          <w:u w:val="none"/>
        </w:rPr>
        <w:t xml:space="preserve">на виконання робіт з виявлення </w:t>
      </w:r>
      <w:r w:rsidRPr="00C15BE4">
        <w:rPr>
          <w:bCs/>
          <w:color w:val="auto"/>
          <w:spacing w:val="-6"/>
          <w:sz w:val="24"/>
          <w:szCs w:val="24"/>
          <w:u w:val="none"/>
        </w:rPr>
        <w:t>джерел радіозавад</w:t>
      </w:r>
      <w:r w:rsidRPr="00C15BE4">
        <w:rPr>
          <w:b/>
          <w:bCs/>
          <w:color w:val="auto"/>
          <w:spacing w:val="-6"/>
          <w:sz w:val="24"/>
          <w:szCs w:val="24"/>
          <w:u w:val="none"/>
        </w:rPr>
        <w:t xml:space="preserve"> </w:t>
      </w:r>
      <w:r w:rsidRPr="00C15BE4">
        <w:rPr>
          <w:color w:val="auto"/>
          <w:spacing w:val="-9"/>
          <w:sz w:val="24"/>
          <w:szCs w:val="24"/>
          <w:u w:val="none"/>
        </w:rPr>
        <w:t>від __________</w:t>
      </w:r>
      <w:r w:rsidR="00F7184F" w:rsidRPr="00C15BE4">
        <w:rPr>
          <w:color w:val="auto"/>
          <w:spacing w:val="-9"/>
          <w:sz w:val="24"/>
          <w:szCs w:val="24"/>
          <w:u w:val="none"/>
        </w:rPr>
        <w:t>_____</w:t>
      </w:r>
      <w:r w:rsidRPr="00C15BE4">
        <w:rPr>
          <w:color w:val="auto"/>
          <w:spacing w:val="-9"/>
          <w:sz w:val="24"/>
          <w:szCs w:val="24"/>
          <w:u w:val="none"/>
        </w:rPr>
        <w:t xml:space="preserve"> №____</w:t>
      </w:r>
      <w:r w:rsidR="00F7184F" w:rsidRPr="00C15BE4">
        <w:rPr>
          <w:color w:val="auto"/>
          <w:spacing w:val="-9"/>
          <w:sz w:val="24"/>
          <w:szCs w:val="24"/>
          <w:u w:val="none"/>
        </w:rPr>
        <w:t>__________</w:t>
      </w:r>
      <w:r w:rsidRPr="00C15BE4">
        <w:rPr>
          <w:color w:val="auto"/>
          <w:spacing w:val="-3"/>
          <w:sz w:val="24"/>
          <w:szCs w:val="24"/>
          <w:u w:val="none"/>
        </w:rPr>
        <w:t>(далі – Договір) про нижче наведене:</w:t>
      </w:r>
    </w:p>
    <w:p w:rsidR="00677B22" w:rsidRPr="00C15BE4" w:rsidRDefault="00677B22" w:rsidP="00677B22">
      <w:pPr>
        <w:widowControl w:val="0"/>
        <w:shd w:val="clear" w:color="auto" w:fill="FFFFFF"/>
        <w:autoSpaceDE w:val="0"/>
        <w:autoSpaceDN w:val="0"/>
        <w:adjustRightInd w:val="0"/>
        <w:jc w:val="both"/>
        <w:rPr>
          <w:b/>
          <w:bCs/>
          <w:color w:val="auto"/>
          <w:sz w:val="24"/>
          <w:szCs w:val="24"/>
          <w:u w:val="none"/>
        </w:rPr>
      </w:pPr>
    </w:p>
    <w:p w:rsidR="00677B22" w:rsidRPr="00C15BE4" w:rsidRDefault="00677B22" w:rsidP="00677B22">
      <w:pPr>
        <w:widowControl w:val="0"/>
        <w:numPr>
          <w:ilvl w:val="0"/>
          <w:numId w:val="1"/>
        </w:numPr>
        <w:shd w:val="clear" w:color="auto" w:fill="FFFFFF"/>
        <w:tabs>
          <w:tab w:val="left" w:pos="567"/>
        </w:tabs>
        <w:autoSpaceDE w:val="0"/>
        <w:autoSpaceDN w:val="0"/>
        <w:adjustRightInd w:val="0"/>
        <w:ind w:left="0" w:firstLine="0"/>
        <w:jc w:val="center"/>
        <w:rPr>
          <w:b/>
          <w:color w:val="auto"/>
          <w:sz w:val="24"/>
          <w:szCs w:val="24"/>
          <w:u w:val="none"/>
        </w:rPr>
      </w:pPr>
      <w:r w:rsidRPr="00C15BE4">
        <w:rPr>
          <w:b/>
          <w:bCs/>
          <w:color w:val="auto"/>
          <w:sz w:val="24"/>
          <w:szCs w:val="24"/>
          <w:u w:val="none"/>
        </w:rPr>
        <w:t>Предмет Договору</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За цим Договором Замовник замовляє та зобов'язується оплатити, а Виконавець зобов'язується виконати роботи з виявлення джерел радіозавад.</w:t>
      </w:r>
    </w:p>
    <w:p w:rsidR="00677B22" w:rsidRPr="00C15BE4" w:rsidRDefault="00677B22" w:rsidP="00677B22">
      <w:pPr>
        <w:widowControl w:val="0"/>
        <w:numPr>
          <w:ilvl w:val="1"/>
          <w:numId w:val="1"/>
        </w:numPr>
        <w:tabs>
          <w:tab w:val="left" w:pos="567"/>
          <w:tab w:val="left" w:pos="709"/>
          <w:tab w:val="left" w:pos="1560"/>
        </w:tabs>
        <w:autoSpaceDE w:val="0"/>
        <w:autoSpaceDN w:val="0"/>
        <w:adjustRightInd w:val="0"/>
        <w:ind w:left="0" w:firstLine="0"/>
        <w:jc w:val="both"/>
        <w:rPr>
          <w:color w:val="auto"/>
          <w:sz w:val="24"/>
          <w:szCs w:val="24"/>
          <w:u w:val="none"/>
        </w:rPr>
      </w:pPr>
      <w:r w:rsidRPr="00C15BE4">
        <w:rPr>
          <w:bCs/>
          <w:color w:val="auto"/>
          <w:spacing w:val="-4"/>
          <w:sz w:val="24"/>
          <w:szCs w:val="24"/>
          <w:u w:val="none"/>
        </w:rPr>
        <w:t>Роботи щодо виявлення джерел радіозавад здійснюються</w:t>
      </w:r>
      <w:r w:rsidRPr="00C15BE4">
        <w:rPr>
          <w:color w:val="auto"/>
          <w:sz w:val="24"/>
          <w:szCs w:val="24"/>
          <w:u w:val="none"/>
        </w:rPr>
        <w:t xml:space="preserve"> згідно чинного Законодавства та</w:t>
      </w:r>
      <w:r w:rsidRPr="00C15BE4">
        <w:rPr>
          <w:bCs/>
          <w:color w:val="auto"/>
          <w:spacing w:val="-4"/>
          <w:sz w:val="24"/>
          <w:szCs w:val="24"/>
          <w:u w:val="none"/>
        </w:rPr>
        <w:t xml:space="preserve"> відповідно до Порядку виконання робіт з виявлення, усунення та/або припинення дії джерел радіозавад та їх документального оформлення за заявами користувачів (далі – Порядок).</w:t>
      </w:r>
    </w:p>
    <w:p w:rsidR="00677B22" w:rsidRPr="00C15BE4" w:rsidRDefault="00677B22" w:rsidP="00677B22">
      <w:pPr>
        <w:widowControl w:val="0"/>
        <w:shd w:val="clear" w:color="auto" w:fill="FFFFFF"/>
        <w:tabs>
          <w:tab w:val="left" w:pos="567"/>
          <w:tab w:val="left" w:pos="709"/>
          <w:tab w:val="left" w:pos="1560"/>
        </w:tabs>
        <w:autoSpaceDE w:val="0"/>
        <w:autoSpaceDN w:val="0"/>
        <w:adjustRightInd w:val="0"/>
        <w:jc w:val="center"/>
        <w:rPr>
          <w:b/>
          <w:color w:val="auto"/>
          <w:sz w:val="24"/>
          <w:szCs w:val="24"/>
          <w:u w:val="none"/>
        </w:rPr>
      </w:pPr>
    </w:p>
    <w:p w:rsidR="00677B22" w:rsidRPr="00C15BE4" w:rsidRDefault="00677B22" w:rsidP="00677B22">
      <w:pPr>
        <w:widowControl w:val="0"/>
        <w:numPr>
          <w:ilvl w:val="0"/>
          <w:numId w:val="1"/>
        </w:numPr>
        <w:shd w:val="clear" w:color="auto" w:fill="FFFFFF"/>
        <w:tabs>
          <w:tab w:val="left" w:pos="567"/>
        </w:tabs>
        <w:autoSpaceDE w:val="0"/>
        <w:autoSpaceDN w:val="0"/>
        <w:adjustRightInd w:val="0"/>
        <w:ind w:left="0" w:firstLine="0"/>
        <w:jc w:val="center"/>
        <w:rPr>
          <w:b/>
          <w:bCs/>
          <w:color w:val="auto"/>
          <w:sz w:val="24"/>
          <w:szCs w:val="24"/>
          <w:u w:val="none"/>
        </w:rPr>
      </w:pPr>
      <w:r w:rsidRPr="00C15BE4">
        <w:rPr>
          <w:b/>
          <w:bCs/>
          <w:color w:val="auto"/>
          <w:sz w:val="24"/>
          <w:szCs w:val="24"/>
          <w:u w:val="none"/>
        </w:rPr>
        <w:t>Порядок виконання робіт</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Виконавець розпочинає проведення робіт з виявлення джерел радіозавад після отримання від Замовника заяви на виявлення джерел радіозавад (далі – Заява), оформленої за формою, визначеною у Додатку 4 або Додатку 5 Порядку.</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Роботи щодо виявлення радіозавад здійснюються Виконавцем відповідно до розділу 2 Порядку.</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Термін опрацювання Заяви обчислюється з дати їх реєстрації Виконавцем.</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Виконавець зобов’язується виконати роботи з виявлення джерела радіозавад у строк, який не перевищує 30 (тридцяти) календарних днів з дати отримання Заяви від Замовника.</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Для отримання додаткової інформації, що стосується виявлення джерела радіозавади, Виконавець може звернутись до Замовника з відповідним запитом. У такому випадку термін опрацювання Заяви подовжується на строк  отримання від Замовника відповіді на цей запит.</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У разі, якщо радіозавада носить періодичний характер (виникає у короткі проміжки часу), або виникла через порушення умов забезпечення електромагнітної сумісності між радіообладнанням (радіоелектронними засобами) будь-якого призначення, або появу радіозавади неможливо було передбачити розрахунковим способом, Виконавець може подовжити термін опрацювання Заяви на строк не більше 30 календарних днів. Про прийняте рішення щодо подовження терміну розгляду Заяви Виконавець інформує Замовника у термін до 3 робочих днів з моменту його прийняття.</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color w:val="auto"/>
          <w:sz w:val="24"/>
          <w:szCs w:val="24"/>
          <w:u w:val="none"/>
        </w:rPr>
      </w:pPr>
      <w:r w:rsidRPr="00C15BE4">
        <w:rPr>
          <w:color w:val="auto"/>
          <w:sz w:val="24"/>
          <w:szCs w:val="24"/>
          <w:u w:val="none"/>
        </w:rPr>
        <w:t>У разі необхідності отримання допуску на територію та/або в приміщення, де знаходиться джерело радіозавад, Виконавець може подовжити термін розгляду Заяви на строк не більше 30 календарних днів. Про прийняте рішення щодо подовження терміну розгляду Заяви Виконавець інформує Замовника у термін до 3 робочих днів з моменту його прийняття.</w:t>
      </w:r>
    </w:p>
    <w:p w:rsidR="00677B22" w:rsidRPr="00C15BE4" w:rsidRDefault="00677B22" w:rsidP="00677B22">
      <w:pPr>
        <w:widowControl w:val="0"/>
        <w:numPr>
          <w:ilvl w:val="1"/>
          <w:numId w:val="1"/>
        </w:numPr>
        <w:shd w:val="clear" w:color="auto" w:fill="FFFFFF"/>
        <w:tabs>
          <w:tab w:val="left" w:pos="567"/>
          <w:tab w:val="left" w:pos="709"/>
          <w:tab w:val="left" w:pos="1560"/>
        </w:tabs>
        <w:autoSpaceDE w:val="0"/>
        <w:autoSpaceDN w:val="0"/>
        <w:adjustRightInd w:val="0"/>
        <w:ind w:left="0" w:firstLine="0"/>
        <w:jc w:val="both"/>
        <w:rPr>
          <w:bCs/>
          <w:color w:val="auto"/>
          <w:sz w:val="24"/>
          <w:szCs w:val="24"/>
          <w:u w:val="none"/>
        </w:rPr>
      </w:pPr>
      <w:r w:rsidRPr="00C15BE4">
        <w:rPr>
          <w:color w:val="auto"/>
          <w:sz w:val="24"/>
          <w:szCs w:val="24"/>
          <w:u w:val="none"/>
        </w:rPr>
        <w:t>Представники Виконавця при проведенні робіт з виявлення джерел радіозавад повинні мати посвідчення, яке підтверджує їх право на здійснення таких робіт. Видача посвідчень здійснюється керівником або іншою уповноваженою особою Виконавця.</w:t>
      </w:r>
    </w:p>
    <w:p w:rsidR="00677B22" w:rsidRPr="00C15BE4" w:rsidRDefault="00677B22" w:rsidP="00677B22">
      <w:pPr>
        <w:widowControl w:val="0"/>
        <w:shd w:val="clear" w:color="auto" w:fill="FFFFFF"/>
        <w:tabs>
          <w:tab w:val="left" w:pos="567"/>
          <w:tab w:val="left" w:pos="709"/>
          <w:tab w:val="left" w:pos="1560"/>
        </w:tabs>
        <w:autoSpaceDE w:val="0"/>
        <w:autoSpaceDN w:val="0"/>
        <w:adjustRightInd w:val="0"/>
        <w:jc w:val="both"/>
        <w:rPr>
          <w:b/>
          <w:bCs/>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Права та обов'язки Сторін</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Права Замовника:</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Отримувати інформацію про хід виконання робіт та бути присутнім при їх виконанні.</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lang w:val="ru-RU"/>
        </w:rPr>
      </w:pPr>
      <w:r w:rsidRPr="00C15BE4">
        <w:rPr>
          <w:color w:val="auto"/>
          <w:sz w:val="24"/>
          <w:szCs w:val="24"/>
          <w:u w:val="none"/>
        </w:rPr>
        <w:lastRenderedPageBreak/>
        <w:t>Отримувати якісно виконані роботи.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lang w:val="ru-RU"/>
        </w:rPr>
      </w:pPr>
      <w:r w:rsidRPr="00C15BE4">
        <w:rPr>
          <w:color w:val="auto"/>
          <w:sz w:val="24"/>
          <w:szCs w:val="24"/>
          <w:u w:val="none"/>
        </w:rPr>
        <w:t>Обов'язки Замовника:</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Надати вичерпну інформацію Виконавцю про факт роботи радіообладнання, на яке діють джерела радіозавад.</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Сплатити в повному об'ємі вартість виконаних робіт Виконавцем.</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Без необхідності не втручатись у хід виконання робіт Виконавця.</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Права Виконавця: </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Бути допущеним, в присутності представника Замовника, на територію та в приміщення, де розміщене радіообладнання, що зазнало впливу радіозавад. </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Проводити визначення (вимірювання) параметрів радіообладнання, що зазнало впливу радіозавад, у тому числі шляхом безпосереднього підключення до нього.</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Отримувати від Замовника інформацію, що стосується виявлення джерела радіозавади.</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Залучати до виконання робіт з виявлення джерел радіозавад представників Замовника (за згодою).</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Отримати плату за виконані роботи в повному обсязі.</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Обов'язки Виконавця:</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Розглянути Заяву Замовника в порядку встановленому чинним законодавством України та даним Договором;</w:t>
      </w:r>
    </w:p>
    <w:p w:rsidR="00677B22" w:rsidRPr="00C15BE4" w:rsidRDefault="00677B22" w:rsidP="00677B22">
      <w:pPr>
        <w:widowControl w:val="0"/>
        <w:numPr>
          <w:ilvl w:val="2"/>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Виконати роботи належним чином.</w:t>
      </w:r>
    </w:p>
    <w:p w:rsidR="00677B22" w:rsidRPr="00C15BE4" w:rsidRDefault="00677B22" w:rsidP="00677B22">
      <w:pPr>
        <w:widowControl w:val="0"/>
        <w:shd w:val="clear" w:color="auto" w:fill="FFFFFF"/>
        <w:autoSpaceDE w:val="0"/>
        <w:autoSpaceDN w:val="0"/>
        <w:adjustRightInd w:val="0"/>
        <w:jc w:val="both"/>
        <w:rPr>
          <w:b/>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Приймання-передача виконаних робіт</w:t>
      </w:r>
    </w:p>
    <w:p w:rsidR="00677B22" w:rsidRPr="00C15BE4"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4"/>
          <w:szCs w:val="24"/>
          <w:u w:val="none"/>
          <w:lang w:eastAsia="en-US"/>
        </w:rPr>
      </w:pPr>
      <w:r w:rsidRPr="00C15BE4">
        <w:rPr>
          <w:color w:val="auto"/>
          <w:sz w:val="24"/>
          <w:szCs w:val="24"/>
          <w:u w:val="none"/>
          <w:lang w:eastAsia="en-US"/>
        </w:rPr>
        <w:t>Після виконання робіт протягом 3 (трьох) робочих днів, Виконавець надсилає на адресу Замовника рахунок за виконані роботи, 2 (два) примірники Акту про виконання робіт з виявлення джерела радіозавади (далі – Акт) та протокол виявлення джерела радіозавади (датою виконання робіт вважається дата протоколу).</w:t>
      </w:r>
    </w:p>
    <w:p w:rsidR="00677B22" w:rsidRPr="00C15BE4"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4"/>
          <w:szCs w:val="24"/>
          <w:u w:val="none"/>
          <w:lang w:eastAsia="en-US"/>
        </w:rPr>
      </w:pPr>
      <w:r w:rsidRPr="00C15BE4">
        <w:rPr>
          <w:color w:val="auto"/>
          <w:sz w:val="24"/>
          <w:szCs w:val="24"/>
          <w:u w:val="none"/>
          <w:lang w:eastAsia="en-US"/>
        </w:rPr>
        <w:t>Акт підписується Замовником та повертається Виконавцю протягом 10 (десяти) днів з дати отримання. Якщо Замовник не підписує Акт, він повинен протягом 5 (п’яти) календарних днів з дня отримання документів надіслати електронний запит – претензію на електронну адресу Виконавця, вказану в цьому Договорі.</w:t>
      </w:r>
    </w:p>
    <w:p w:rsidR="00677B22" w:rsidRPr="00C15BE4" w:rsidRDefault="00677B22" w:rsidP="00677B22">
      <w:pPr>
        <w:widowControl w:val="0"/>
        <w:numPr>
          <w:ilvl w:val="1"/>
          <w:numId w:val="1"/>
        </w:numPr>
        <w:shd w:val="clear" w:color="auto" w:fill="FFFFFF"/>
        <w:tabs>
          <w:tab w:val="left" w:pos="413"/>
        </w:tabs>
        <w:autoSpaceDE w:val="0"/>
        <w:autoSpaceDN w:val="0"/>
        <w:adjustRightInd w:val="0"/>
        <w:ind w:left="0" w:right="19" w:firstLine="0"/>
        <w:jc w:val="both"/>
        <w:rPr>
          <w:color w:val="auto"/>
          <w:sz w:val="24"/>
          <w:szCs w:val="24"/>
          <w:u w:val="none"/>
          <w:lang w:eastAsia="en-US"/>
        </w:rPr>
      </w:pPr>
      <w:r w:rsidRPr="00C15BE4">
        <w:rPr>
          <w:color w:val="auto"/>
          <w:sz w:val="24"/>
          <w:szCs w:val="24"/>
          <w:u w:val="none"/>
          <w:lang w:eastAsia="en-US"/>
        </w:rPr>
        <w:t>У випадку не підписання Замовником Акта, без вмотивованої відмови у прийнятті робіт, по закінченню строку, вказаного в п. 4.2 Договору, Акт вважається підписаним, а роботи прийнятими та такими, що підлягають оплаті.</w:t>
      </w:r>
    </w:p>
    <w:p w:rsidR="00677B22" w:rsidRPr="00C15BE4" w:rsidRDefault="00677B22" w:rsidP="00677B22">
      <w:pPr>
        <w:widowControl w:val="0"/>
        <w:shd w:val="clear" w:color="auto" w:fill="FFFFFF"/>
        <w:autoSpaceDE w:val="0"/>
        <w:autoSpaceDN w:val="0"/>
        <w:adjustRightInd w:val="0"/>
        <w:spacing w:after="120"/>
        <w:jc w:val="both"/>
        <w:rPr>
          <w:b/>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Ціна Договору, порядок розрахунків</w:t>
      </w:r>
    </w:p>
    <w:p w:rsidR="00677B22" w:rsidRPr="00C15BE4" w:rsidRDefault="00677B22" w:rsidP="00677B22">
      <w:pPr>
        <w:widowControl w:val="0"/>
        <w:numPr>
          <w:ilvl w:val="1"/>
          <w:numId w:val="1"/>
        </w:numPr>
        <w:autoSpaceDE w:val="0"/>
        <w:autoSpaceDN w:val="0"/>
        <w:adjustRightInd w:val="0"/>
        <w:ind w:left="0" w:firstLine="0"/>
        <w:jc w:val="both"/>
        <w:rPr>
          <w:color w:val="auto"/>
          <w:sz w:val="24"/>
          <w:szCs w:val="24"/>
          <w:u w:val="none"/>
        </w:rPr>
      </w:pPr>
      <w:r w:rsidRPr="00C15BE4">
        <w:rPr>
          <w:color w:val="auto"/>
          <w:sz w:val="24"/>
          <w:szCs w:val="24"/>
          <w:u w:val="none"/>
        </w:rPr>
        <w:t>Ціна виконаних робіт, пов’язаних з виконанням цього Договору, визначається на підставі затверджених у встановленому порядку чинних Тарифів на роботи (послуги) Державного підприємства «Український державний центр радіочастот» (із змінами) (далі – Тарифи).</w:t>
      </w:r>
    </w:p>
    <w:p w:rsidR="00677B22" w:rsidRPr="00C15BE4" w:rsidRDefault="00677B22" w:rsidP="00677B22">
      <w:pPr>
        <w:widowControl w:val="0"/>
        <w:numPr>
          <w:ilvl w:val="1"/>
          <w:numId w:val="1"/>
        </w:numPr>
        <w:autoSpaceDE w:val="0"/>
        <w:autoSpaceDN w:val="0"/>
        <w:adjustRightInd w:val="0"/>
        <w:ind w:left="0" w:firstLine="0"/>
        <w:jc w:val="both"/>
        <w:rPr>
          <w:color w:val="auto"/>
          <w:sz w:val="24"/>
          <w:szCs w:val="24"/>
          <w:u w:val="none"/>
        </w:rPr>
      </w:pPr>
      <w:r w:rsidRPr="00C15BE4">
        <w:rPr>
          <w:color w:val="auto"/>
          <w:sz w:val="24"/>
          <w:szCs w:val="24"/>
          <w:u w:val="none"/>
        </w:rPr>
        <w:t>Податок на додану вартість нараховується згідно із законодавством України.</w:t>
      </w:r>
    </w:p>
    <w:p w:rsidR="00677B22" w:rsidRPr="00C15BE4" w:rsidRDefault="00677B22" w:rsidP="00677B22">
      <w:pPr>
        <w:widowControl w:val="0"/>
        <w:numPr>
          <w:ilvl w:val="1"/>
          <w:numId w:val="1"/>
        </w:numPr>
        <w:autoSpaceDE w:val="0"/>
        <w:autoSpaceDN w:val="0"/>
        <w:adjustRightInd w:val="0"/>
        <w:ind w:left="0" w:firstLine="0"/>
        <w:jc w:val="both"/>
        <w:rPr>
          <w:color w:val="auto"/>
          <w:sz w:val="24"/>
          <w:szCs w:val="24"/>
          <w:u w:val="none"/>
        </w:rPr>
      </w:pPr>
      <w:r w:rsidRPr="00C15BE4">
        <w:rPr>
          <w:color w:val="auto"/>
          <w:sz w:val="24"/>
          <w:szCs w:val="24"/>
          <w:u w:val="none"/>
        </w:rPr>
        <w:t>Виставлений Виконавцем рахунок має бути сплачений Замовником протягом 10 (десяти) календарних днів з дня отримання, шляхом перерахування Замовником визначеної в рахунку суми на поточний рахунок Виконавця.</w:t>
      </w:r>
    </w:p>
    <w:p w:rsidR="00677B22" w:rsidRPr="00C15BE4" w:rsidRDefault="00677B22" w:rsidP="00677B22">
      <w:pPr>
        <w:widowControl w:val="0"/>
        <w:numPr>
          <w:ilvl w:val="1"/>
          <w:numId w:val="1"/>
        </w:numPr>
        <w:autoSpaceDE w:val="0"/>
        <w:autoSpaceDN w:val="0"/>
        <w:adjustRightInd w:val="0"/>
        <w:ind w:left="0" w:firstLine="0"/>
        <w:jc w:val="both"/>
        <w:rPr>
          <w:color w:val="auto"/>
          <w:sz w:val="24"/>
          <w:szCs w:val="24"/>
          <w:u w:val="none"/>
        </w:rPr>
      </w:pPr>
      <w:r w:rsidRPr="00C15BE4">
        <w:rPr>
          <w:color w:val="auto"/>
          <w:sz w:val="24"/>
          <w:szCs w:val="24"/>
          <w:u w:val="none"/>
        </w:rPr>
        <w:t>Датою складання Акта вважається дата протоколу виявлення джерела радіозавади.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Виконавець оформлює податкову накладну та реєструє її в Єдиному державному реєстрі податкових накладних відповідно до вимог чинного законодавства України. В податковій накладній Виконавець зазначає повну чи скорочену назву Замовника, зареєстрованого як платник податку на додану вартість, або повну чи скорочену назву Замовника, зареєстрованого як платник податку на додану вартість та філію (відокремлений підрозділ), у разі якщо отримувачем послуг є відокремлений підрозділ Замовника, який фактично є від імені головного підприємства Стороною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Додаткові угоди, рахунки та Акти надсилаються Замовнику в електронній формі через ПЗ «M.E.Doc» або в паперовому вигляді (на вимогу контрагента) на адресу, що зазначена в </w:t>
      </w:r>
      <w:r w:rsidRPr="00C15BE4">
        <w:rPr>
          <w:color w:val="auto"/>
          <w:sz w:val="24"/>
          <w:szCs w:val="24"/>
          <w:u w:val="none"/>
        </w:rPr>
        <w:lastRenderedPageBreak/>
        <w:t>реквізитах цього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Сторони підтверджують, що підписанти, які зазначені в документах з обох Сторін, належним чином уповноважені на підписання, та на вимогу іншої Сторони зобов’язані негайно передати копії документів, які підтверджують такі повноваження. </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Електронний акт про виконання робіт та інші електронні двосторонні документи, вважаються підписаними всіма повноважними підписантами з обох Сторін у дату, зазначену в тексті  такого електронного документа як дата його складання. Ця умова застосовується, в тому числі у разі,  якщо фактична дата накладання кваліфікованого електронного підпису (далі – КЕП) будь-яким підписантом будь-якої Сторони буде раніше або пізніше дати електронного документа, зазначеної в тексті останнього. Електронні рахунки вважаються чинними в разі їх підписання КЕП Стороною, яка їх направила.</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КЕП визнається Сторонами як такий, що надає юридичної сили електронним документам, за умови відповідності такого КЕП вимогам чинного законодавства. При цьому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є оригінальними та прирівнюються до оригінальних примірників документів на паперових носіях, підписаних власноручно уповноваженими представниками Сторін.</w:t>
      </w:r>
    </w:p>
    <w:p w:rsidR="00677B22" w:rsidRPr="00C15BE4" w:rsidRDefault="00677B22" w:rsidP="00677B22">
      <w:pPr>
        <w:widowControl w:val="0"/>
        <w:shd w:val="clear" w:color="auto" w:fill="FFFFFF"/>
        <w:autoSpaceDE w:val="0"/>
        <w:autoSpaceDN w:val="0"/>
        <w:adjustRightInd w:val="0"/>
        <w:jc w:val="both"/>
        <w:rPr>
          <w:b/>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Відповідальність Сторін</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6.1. Сторони несуть відповідальність за невиконання або/чи неналежне виконання своїх зобов’язань за цим Договором.</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6.2. За порушення грошових зобов’язань Замовник сплачує Виконавцю пеню у розмірі подвійної облікової ставки НБУ, що діяла у період за який нараховується пеня за кожен день прострочення.</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6.3. Пеня нараховується на суму простроченого платежу, починаючи з наступного дня відповідно до пункту 5.3. Договору, у якому був   отриманий рахунок до повної сплати Замовником суми боргу але не більше ніж за 180 (сто вісімдесят) календарних днів з моменту, коли зобов’язання мало бути виконане.</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 xml:space="preserve">6.4. У разі несвоєчасного повідомлення Замовником про зміни в статусі платника ПДВ, що спричинило застосування штрафних санкцій державних органів по відношенню до Виконавця, якого не було повідомлено, Замовник зобов’язаний сплатити штраф за неналежне виконання пункту 9.2 Договору. </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6.4.1. Розмір штрафу за несвоєчасне повідомлення про зміни в статусі платника ПДВ, дорівнює сумі штрафу за порушення вимог пункту 120.1 статті 120 ПКУ, нарахованому контролюючими органами. Замовник зобов’язаний сплатити Виконавцю суму штрафу, протягом 10 (десяти) календарних днів із моменту направлення Виконавцем відповідної письмової вимоги, шляхом перерахування коштів на банківський рахунок Виконавця за вказаними ним реквізитами.</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color w:val="auto"/>
          <w:sz w:val="24"/>
          <w:szCs w:val="24"/>
          <w:u w:val="none"/>
        </w:rPr>
      </w:pPr>
      <w:r w:rsidRPr="00C15BE4">
        <w:rPr>
          <w:color w:val="auto"/>
          <w:sz w:val="24"/>
          <w:szCs w:val="24"/>
          <w:u w:val="none"/>
        </w:rPr>
        <w:t>6.5. Всі суперечки, які виникають при виконанні умов цього Договору і не врегульовані узгодженням Сторін, розглядаються в порядку, передбаченому чинним законодавством України.</w:t>
      </w:r>
    </w:p>
    <w:p w:rsidR="00677B22" w:rsidRPr="00C15BE4" w:rsidRDefault="00677B22" w:rsidP="00677B22">
      <w:pPr>
        <w:widowControl w:val="0"/>
        <w:shd w:val="clear" w:color="auto" w:fill="FFFFFF"/>
        <w:tabs>
          <w:tab w:val="left" w:pos="709"/>
          <w:tab w:val="left" w:pos="1560"/>
        </w:tabs>
        <w:autoSpaceDE w:val="0"/>
        <w:autoSpaceDN w:val="0"/>
        <w:adjustRightInd w:val="0"/>
        <w:jc w:val="both"/>
        <w:rPr>
          <w:b/>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Форс-мажорні обставини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Сторони повністю або частково звільняються від відповідальності за невиконання чи неналежне виконання прийнятих на себе згідно з цим Договором зобов'язань у разі настання обставин непоборної сили (форс-мажор), які не залежатимуть від волі Сторін, але безпосередньо впливатимуть на умови та об'єктивні можливості Сторін виконувати Договір.</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Настання форс-мажорних обставин (обставин непоборної сили) підтверджується відповідним документом, виданим Торгово-промисловою палатою України.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Сторона, для якої стало неможливим виконання обов'язків за цим Договором через дію обставин форс-мажору, повинна в десятиденний строк повідомити іншу Сторону про початок, а потім про закінчення дії цих обставин.</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lastRenderedPageBreak/>
        <w:t>Якщо дія обставин форс-мажору триває більше 6 (шести) місяців, будь-яка Сторона має право розірвати цей Договір, попередивши про це іншу сторону за 10 (десять) календарних днів до дати розірвання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Після припинення дії обставин непоборної сили Договір підлягає виконанню у визначеному законом та самим Договором порядку.</w:t>
      </w:r>
    </w:p>
    <w:p w:rsidR="00677B22" w:rsidRPr="00C15BE4" w:rsidRDefault="00677B22" w:rsidP="00677B22">
      <w:pPr>
        <w:widowControl w:val="0"/>
        <w:shd w:val="clear" w:color="auto" w:fill="FFFFFF"/>
        <w:autoSpaceDE w:val="0"/>
        <w:autoSpaceDN w:val="0"/>
        <w:adjustRightInd w:val="0"/>
        <w:jc w:val="both"/>
        <w:rPr>
          <w:color w:val="auto"/>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Антикорупційні застереження</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Під час виконання своїх зобов’язань за цим Договором Сторони, їх афілійовані особи, працівники або посередники не пропонували і не пропонуватимуть винагороду, подарунок або будь-яку іншу перевагу, пільгу або вигоду будь-кому для впливу на дії або рішення цих осіб з метою отримання неправомірних переваг чи на інші неправомірні цілі, або за спрощення формальностей у зв'язку з виконанням цього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прийняття пропозиції, обіцянки або одержання неправомірної вигоди,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Кожна з Сторін цього Договору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Сторони.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У разі виникнення у Сторони підозри, що відбулося або може відбутися порушення будь-яких антикорупційних умов, Сторона зобов’язується невідкладно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а також надають сприяння один одному з метою запобігання корупції. </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факти порушень.</w:t>
      </w:r>
    </w:p>
    <w:p w:rsidR="00677B22" w:rsidRPr="00C15BE4" w:rsidRDefault="00677B22" w:rsidP="00677B22">
      <w:pPr>
        <w:widowControl w:val="0"/>
        <w:shd w:val="clear" w:color="auto" w:fill="FFFFFF"/>
        <w:autoSpaceDE w:val="0"/>
        <w:autoSpaceDN w:val="0"/>
        <w:adjustRightInd w:val="0"/>
        <w:spacing w:after="120"/>
        <w:ind w:right="45"/>
        <w:jc w:val="both"/>
        <w:rPr>
          <w:b/>
          <w:bCs/>
          <w:color w:val="auto"/>
          <w:spacing w:val="-21"/>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Інші умови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Сторони зобов'язуються при зміні своєї назви, банківських реквізитів, юридичної та поштової адреси у термін 10 (десять) календарних днів письмово повідомити про це другу Сторону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Протягом 3-х робочих днів Замовник зобов’язаний в електронному вигляді повідомити Виконавця про зміни у статусі платника ПДВ.</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Цей Договір складений в 2-х примірниках, які мають однакову юридичну силу. Один із них зберігається у Виконавця, другий - у Замовника.</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Умови цього Договору можуть бути змінені за взаємною згодою Сторін шляхом укладення додаткових угод, якщо інше не передбачено Договором або чинним законодавством України.</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Виконавець є платником податку на прибуток на загальних підставах згідно чинного законодавства України.</w:t>
      </w:r>
    </w:p>
    <w:p w:rsidR="00677B22" w:rsidRPr="00C15BE4" w:rsidRDefault="00677B22" w:rsidP="00677B22">
      <w:pPr>
        <w:widowControl w:val="0"/>
        <w:shd w:val="clear" w:color="auto" w:fill="FFFFFF"/>
        <w:tabs>
          <w:tab w:val="left" w:pos="437"/>
        </w:tabs>
        <w:autoSpaceDE w:val="0"/>
        <w:autoSpaceDN w:val="0"/>
        <w:adjustRightInd w:val="0"/>
        <w:spacing w:after="120"/>
        <w:ind w:right="10"/>
        <w:jc w:val="both"/>
        <w:rPr>
          <w:color w:val="333333"/>
          <w:sz w:val="24"/>
          <w:szCs w:val="24"/>
          <w:u w:val="none"/>
          <w:shd w:val="clear" w:color="auto" w:fill="FFFFFF"/>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lastRenderedPageBreak/>
        <w:t>Строк дії Договору</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 xml:space="preserve">Цей Договір набуває чинності з моменту його підписання повноважними представниками Сторін і діє до </w:t>
      </w:r>
      <w:r w:rsidRPr="00C15BE4">
        <w:rPr>
          <w:color w:val="auto"/>
          <w:sz w:val="24"/>
          <w:szCs w:val="24"/>
          <w:u w:val="none"/>
          <w:lang w:val="ru-RU"/>
        </w:rPr>
        <w:t>31</w:t>
      </w:r>
      <w:r w:rsidRPr="00C15BE4">
        <w:rPr>
          <w:color w:val="auto"/>
          <w:sz w:val="24"/>
          <w:szCs w:val="24"/>
          <w:u w:val="none"/>
        </w:rPr>
        <w:t xml:space="preserve"> грудня 20___ року, але в будь-якому випадку до повного виконання Сторонами своїх зобов'язань за цим Договором.</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Цей Договір вважається продовженим на кожний наступний строк тривалістю 1 (один) календарний рік, якщо жодна із Сторін за 30 (тридцять) календарних днів до закінчення строку його дії не надішле іншій Стороні письмове повідомлення про свій намір припинити його дію надалі.</w:t>
      </w:r>
    </w:p>
    <w:p w:rsidR="00677B22" w:rsidRPr="00C15BE4" w:rsidRDefault="00677B22" w:rsidP="00677B22">
      <w:pPr>
        <w:widowControl w:val="0"/>
        <w:numPr>
          <w:ilvl w:val="1"/>
          <w:numId w:val="1"/>
        </w:numPr>
        <w:shd w:val="clear" w:color="auto" w:fill="FFFFFF"/>
        <w:autoSpaceDE w:val="0"/>
        <w:autoSpaceDN w:val="0"/>
        <w:adjustRightInd w:val="0"/>
        <w:ind w:left="0" w:firstLine="0"/>
        <w:jc w:val="both"/>
        <w:rPr>
          <w:color w:val="auto"/>
          <w:sz w:val="24"/>
          <w:szCs w:val="24"/>
          <w:u w:val="none"/>
        </w:rPr>
      </w:pPr>
      <w:r w:rsidRPr="00C15BE4">
        <w:rPr>
          <w:color w:val="auto"/>
          <w:sz w:val="24"/>
          <w:szCs w:val="24"/>
          <w:u w:val="none"/>
        </w:rPr>
        <w:t>Цей Договір може бути достроково припинений за взаємною згодою Сторін (шляхом укладання додаткової угоди) після проведення необхідних взаєморозрахунків і врегулювання всіх спірних питань. Якщо Сторони не дійшли згоди, Договір може бути припинений за рішенням суду.</w:t>
      </w:r>
    </w:p>
    <w:p w:rsidR="00677B22" w:rsidRPr="00C15BE4" w:rsidRDefault="00677B22" w:rsidP="00677B22">
      <w:pPr>
        <w:widowControl w:val="0"/>
        <w:shd w:val="clear" w:color="auto" w:fill="FFFFFF"/>
        <w:autoSpaceDE w:val="0"/>
        <w:autoSpaceDN w:val="0"/>
        <w:adjustRightInd w:val="0"/>
        <w:ind w:right="45"/>
        <w:rPr>
          <w:bCs/>
          <w:color w:val="auto"/>
          <w:spacing w:val="-21"/>
          <w:sz w:val="24"/>
          <w:szCs w:val="24"/>
          <w:u w:val="none"/>
        </w:rPr>
      </w:pPr>
    </w:p>
    <w:p w:rsidR="00677B22" w:rsidRPr="00C15BE4" w:rsidRDefault="00677B22" w:rsidP="00677B22">
      <w:pPr>
        <w:widowControl w:val="0"/>
        <w:numPr>
          <w:ilvl w:val="0"/>
          <w:numId w:val="1"/>
        </w:numPr>
        <w:shd w:val="clear" w:color="auto" w:fill="FFFFFF"/>
        <w:autoSpaceDE w:val="0"/>
        <w:autoSpaceDN w:val="0"/>
        <w:adjustRightInd w:val="0"/>
        <w:ind w:left="0" w:firstLine="0"/>
        <w:jc w:val="center"/>
        <w:rPr>
          <w:b/>
          <w:bCs/>
          <w:color w:val="auto"/>
          <w:sz w:val="24"/>
          <w:szCs w:val="24"/>
          <w:u w:val="none"/>
        </w:rPr>
      </w:pPr>
      <w:r w:rsidRPr="00C15BE4">
        <w:rPr>
          <w:b/>
          <w:bCs/>
          <w:color w:val="auto"/>
          <w:sz w:val="24"/>
          <w:szCs w:val="24"/>
          <w:u w:val="none"/>
        </w:rPr>
        <w:t>Місцезнаходження та реквізити сторін</w:t>
      </w:r>
    </w:p>
    <w:p w:rsidR="00677B22" w:rsidRPr="00C15BE4" w:rsidRDefault="00677B22" w:rsidP="00677B22">
      <w:pPr>
        <w:widowControl w:val="0"/>
        <w:shd w:val="clear" w:color="auto" w:fill="FFFFFF"/>
        <w:autoSpaceDE w:val="0"/>
        <w:autoSpaceDN w:val="0"/>
        <w:adjustRightInd w:val="0"/>
        <w:ind w:right="45"/>
        <w:rPr>
          <w:color w:val="auto"/>
          <w:sz w:val="24"/>
          <w:szCs w:val="24"/>
          <w:u w:val="none"/>
        </w:rPr>
      </w:pPr>
    </w:p>
    <w:tbl>
      <w:tblPr>
        <w:tblStyle w:val="41"/>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36"/>
      </w:tblGrid>
      <w:tr w:rsidR="00C15BE4" w:rsidRPr="00C15BE4" w:rsidTr="00AC7E88">
        <w:tc>
          <w:tcPr>
            <w:tcW w:w="4962" w:type="dxa"/>
          </w:tcPr>
          <w:p w:rsidR="00C15BE4" w:rsidRPr="00C15BE4" w:rsidRDefault="00C15BE4" w:rsidP="00C15BE4">
            <w:pPr>
              <w:jc w:val="center"/>
              <w:rPr>
                <w:b/>
                <w:bCs/>
                <w:color w:val="auto"/>
                <w:sz w:val="24"/>
                <w:szCs w:val="24"/>
                <w:u w:val="none"/>
              </w:rPr>
            </w:pPr>
          </w:p>
          <w:p w:rsidR="00C15BE4" w:rsidRPr="00C15BE4" w:rsidRDefault="00C15BE4" w:rsidP="00C15BE4">
            <w:pPr>
              <w:jc w:val="center"/>
              <w:rPr>
                <w:b/>
                <w:color w:val="auto"/>
                <w:sz w:val="24"/>
                <w:szCs w:val="24"/>
                <w:u w:val="none"/>
              </w:rPr>
            </w:pPr>
            <w:r w:rsidRPr="00C15BE4">
              <w:rPr>
                <w:b/>
                <w:bCs/>
                <w:color w:val="auto"/>
                <w:sz w:val="24"/>
                <w:szCs w:val="24"/>
                <w:u w:val="none"/>
              </w:rPr>
              <w:t>ВИКОНАВЕЦЬ</w:t>
            </w:r>
          </w:p>
        </w:tc>
        <w:tc>
          <w:tcPr>
            <w:tcW w:w="4836" w:type="dxa"/>
          </w:tcPr>
          <w:p w:rsidR="00C15BE4" w:rsidRPr="00C15BE4" w:rsidRDefault="00C15BE4" w:rsidP="00C15BE4">
            <w:pPr>
              <w:jc w:val="center"/>
              <w:rPr>
                <w:b/>
                <w:bCs/>
                <w:color w:val="auto"/>
                <w:sz w:val="24"/>
                <w:szCs w:val="24"/>
                <w:u w:val="none"/>
              </w:rPr>
            </w:pPr>
          </w:p>
          <w:p w:rsidR="00C15BE4" w:rsidRPr="00C15BE4" w:rsidRDefault="00C15BE4" w:rsidP="00C15BE4">
            <w:pPr>
              <w:jc w:val="center"/>
              <w:rPr>
                <w:b/>
                <w:color w:val="auto"/>
                <w:sz w:val="24"/>
                <w:szCs w:val="24"/>
                <w:u w:val="none"/>
              </w:rPr>
            </w:pPr>
            <w:r w:rsidRPr="00C15BE4">
              <w:rPr>
                <w:b/>
                <w:bCs/>
                <w:color w:val="auto"/>
                <w:sz w:val="24"/>
                <w:szCs w:val="24"/>
                <w:u w:val="none"/>
              </w:rPr>
              <w:t xml:space="preserve"> ЗАМОВНИК</w:t>
            </w:r>
          </w:p>
        </w:tc>
      </w:tr>
      <w:tr w:rsidR="00C15BE4" w:rsidRPr="00C15BE4" w:rsidTr="00AC7E88">
        <w:tc>
          <w:tcPr>
            <w:tcW w:w="4962" w:type="dxa"/>
          </w:tcPr>
          <w:p w:rsidR="00C15BE4" w:rsidRPr="00C15BE4" w:rsidRDefault="00C15BE4" w:rsidP="00C15BE4">
            <w:pPr>
              <w:spacing w:line="276" w:lineRule="auto"/>
              <w:jc w:val="both"/>
              <w:rPr>
                <w:color w:val="auto"/>
                <w:sz w:val="24"/>
                <w:szCs w:val="24"/>
                <w:u w:val="none"/>
              </w:rPr>
            </w:pPr>
          </w:p>
        </w:tc>
        <w:tc>
          <w:tcPr>
            <w:tcW w:w="4836" w:type="dxa"/>
          </w:tcPr>
          <w:p w:rsidR="00C15BE4" w:rsidRPr="00C15BE4" w:rsidRDefault="00C15BE4" w:rsidP="00C15BE4">
            <w:pPr>
              <w:spacing w:line="276" w:lineRule="auto"/>
              <w:jc w:val="both"/>
              <w:rPr>
                <w:color w:val="auto"/>
                <w:sz w:val="24"/>
                <w:szCs w:val="24"/>
                <w:u w:val="none"/>
              </w:rPr>
            </w:pPr>
          </w:p>
        </w:tc>
      </w:tr>
      <w:tr w:rsidR="00C15BE4" w:rsidRPr="00C15BE4" w:rsidTr="00AC7E88">
        <w:trPr>
          <w:gridAfter w:val="1"/>
          <w:wAfter w:w="4836" w:type="dxa"/>
        </w:trPr>
        <w:tc>
          <w:tcPr>
            <w:tcW w:w="4962" w:type="dxa"/>
          </w:tcPr>
          <w:p w:rsidR="00C15BE4" w:rsidRPr="00C15BE4" w:rsidRDefault="00C15BE4" w:rsidP="00C15BE4">
            <w:pPr>
              <w:widowControl w:val="0"/>
              <w:suppressAutoHyphens/>
              <w:jc w:val="center"/>
              <w:rPr>
                <w:rFonts w:eastAsia="HG Mincho Light J"/>
                <w:b/>
                <w:color w:val="000000"/>
                <w:sz w:val="24"/>
                <w:szCs w:val="24"/>
                <w:u w:val="none"/>
              </w:rPr>
            </w:pPr>
            <w:r w:rsidRPr="00C15BE4">
              <w:rPr>
                <w:rFonts w:eastAsia="HG Mincho Light J"/>
                <w:b/>
                <w:color w:val="000000"/>
                <w:sz w:val="24"/>
                <w:szCs w:val="24"/>
                <w:u w:val="none"/>
              </w:rPr>
              <w:fldChar w:fldCharType="begin"/>
            </w:r>
            <w:r w:rsidRPr="00C15BE4">
              <w:rPr>
                <w:rFonts w:eastAsia="HG Mincho Light J"/>
                <w:b/>
                <w:color w:val="000000"/>
                <w:sz w:val="24"/>
                <w:szCs w:val="24"/>
                <w:u w:val="none"/>
              </w:rPr>
              <w:instrText xml:space="preserve"> DOCVARIABLE  SJUR_PERSNAME  \* MERGEFORMAT </w:instrText>
            </w:r>
            <w:r w:rsidRPr="00C15BE4">
              <w:rPr>
                <w:rFonts w:eastAsia="HG Mincho Light J"/>
                <w:b/>
                <w:color w:val="000000"/>
                <w:sz w:val="24"/>
                <w:szCs w:val="24"/>
                <w:u w:val="none"/>
              </w:rPr>
              <w:fldChar w:fldCharType="separate"/>
            </w:r>
            <w:r w:rsidRPr="00C15BE4">
              <w:rPr>
                <w:rFonts w:eastAsia="HG Mincho Light J"/>
                <w:b/>
                <w:color w:val="000000"/>
                <w:sz w:val="24"/>
                <w:szCs w:val="24"/>
                <w:u w:val="none"/>
              </w:rPr>
              <w:t>Державне підприємство "Український державний центр радіочастот"</w:t>
            </w:r>
            <w:r w:rsidRPr="00C15BE4">
              <w:rPr>
                <w:rFonts w:eastAsia="HG Mincho Light J"/>
                <w:b/>
                <w:color w:val="000000"/>
                <w:sz w:val="24"/>
                <w:szCs w:val="24"/>
                <w:u w:val="none"/>
              </w:rPr>
              <w:fldChar w:fldCharType="end"/>
            </w:r>
          </w:p>
          <w:p w:rsidR="00C15BE4" w:rsidRPr="00C15BE4" w:rsidRDefault="00C15BE4" w:rsidP="00C15BE4">
            <w:pPr>
              <w:widowControl w:val="0"/>
              <w:suppressAutoHyphens/>
              <w:jc w:val="center"/>
              <w:rPr>
                <w:rFonts w:eastAsia="HG Mincho Light J"/>
                <w:b/>
                <w:color w:val="000000"/>
                <w:sz w:val="24"/>
                <w:szCs w:val="24"/>
                <w:u w:val="none"/>
              </w:rPr>
            </w:pPr>
            <w:r w:rsidRPr="00C15BE4">
              <w:rPr>
                <w:rFonts w:eastAsia="HG Mincho Light J"/>
                <w:b/>
                <w:color w:val="000000"/>
                <w:sz w:val="24"/>
                <w:szCs w:val="24"/>
                <w:u w:val="none"/>
              </w:rPr>
              <w:fldChar w:fldCharType="begin"/>
            </w:r>
            <w:r w:rsidRPr="00C15BE4">
              <w:rPr>
                <w:rFonts w:eastAsia="HG Mincho Light J"/>
                <w:b/>
                <w:color w:val="000000"/>
                <w:sz w:val="24"/>
                <w:szCs w:val="24"/>
                <w:u w:val="none"/>
              </w:rPr>
              <w:instrText xml:space="preserve"> DOCVARIABLE  PERSNAME_SMAL  \* MERGEFORMAT </w:instrText>
            </w:r>
            <w:r w:rsidRPr="00C15BE4">
              <w:rPr>
                <w:rFonts w:eastAsia="HG Mincho Light J"/>
                <w:b/>
                <w:color w:val="000000"/>
                <w:sz w:val="24"/>
                <w:szCs w:val="24"/>
                <w:u w:val="none"/>
              </w:rPr>
              <w:fldChar w:fldCharType="separate"/>
            </w:r>
            <w:r w:rsidRPr="00C15BE4">
              <w:rPr>
                <w:rFonts w:eastAsia="HG Mincho Light J"/>
                <w:bCs/>
                <w:color w:val="000000"/>
                <w:sz w:val="24"/>
                <w:szCs w:val="24"/>
                <w:u w:val="none"/>
                <w:lang w:val="ru-RU"/>
              </w:rPr>
              <w:t xml:space="preserve"> </w:t>
            </w:r>
            <w:r w:rsidRPr="00C15BE4">
              <w:rPr>
                <w:rFonts w:eastAsia="HG Mincho Light J"/>
                <w:b/>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lang w:val="ru-RU"/>
              </w:rPr>
            </w:pP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SJUR_PERSNADDRESS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03180, м. Київ, проспект Перемоги, 151</w:t>
            </w:r>
            <w:r w:rsidRPr="00C15BE4">
              <w:rPr>
                <w:rFonts w:eastAsia="HG Mincho Light J"/>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lang w:val="en-US"/>
              </w:rPr>
              <w:t>IBAN</w:t>
            </w:r>
            <w:r w:rsidRPr="00C15BE4">
              <w:rPr>
                <w:rFonts w:eastAsia="HG Mincho Light J"/>
                <w:color w:val="000000"/>
                <w:sz w:val="24"/>
                <w:szCs w:val="24"/>
                <w:u w:val="none"/>
              </w:rPr>
              <w:t xml:space="preserve"> 723003350000000260072195935</w:t>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в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SJUR_BANKNAME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АТ "Райффайзен Банк"</w:t>
            </w:r>
            <w:r w:rsidRPr="00C15BE4">
              <w:rPr>
                <w:rFonts w:eastAsia="HG Mincho Light J"/>
                <w:color w:val="000000"/>
                <w:sz w:val="24"/>
                <w:szCs w:val="24"/>
                <w:u w:val="none"/>
              </w:rPr>
              <w:fldChar w:fldCharType="end"/>
            </w:r>
            <w:r w:rsidRPr="00C15BE4">
              <w:rPr>
                <w:rFonts w:eastAsia="HG Mincho Light J"/>
                <w:color w:val="000000"/>
                <w:sz w:val="24"/>
                <w:szCs w:val="24"/>
                <w:u w:val="none"/>
              </w:rPr>
              <w:t xml:space="preserve">  МФО 300335</w:t>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ЄДРПОУ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SJUR_ORGCODE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01181765</w:t>
            </w:r>
            <w:r w:rsidRPr="00C15BE4">
              <w:rPr>
                <w:rFonts w:eastAsia="HG Mincho Light J"/>
                <w:color w:val="000000"/>
                <w:sz w:val="24"/>
                <w:szCs w:val="24"/>
                <w:u w:val="none"/>
              </w:rPr>
              <w:fldChar w:fldCharType="end"/>
            </w:r>
            <w:r w:rsidRPr="00C15BE4">
              <w:rPr>
                <w:rFonts w:eastAsia="HG Mincho Light J"/>
                <w:color w:val="000000"/>
                <w:sz w:val="24"/>
                <w:szCs w:val="24"/>
                <w:u w:val="none"/>
              </w:rPr>
              <w:t>;</w:t>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 свід.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SJUR_REASON_CODE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200079733</w:t>
            </w:r>
            <w:r w:rsidRPr="00C15BE4">
              <w:rPr>
                <w:rFonts w:eastAsia="HG Mincho Light J"/>
                <w:color w:val="000000"/>
                <w:sz w:val="24"/>
                <w:szCs w:val="24"/>
                <w:u w:val="none"/>
              </w:rPr>
              <w:fldChar w:fldCharType="end"/>
            </w:r>
            <w:r w:rsidRPr="00C15BE4">
              <w:rPr>
                <w:rFonts w:eastAsia="HG Mincho Light J"/>
                <w:color w:val="000000"/>
                <w:sz w:val="24"/>
                <w:szCs w:val="24"/>
                <w:u w:val="none"/>
              </w:rPr>
              <w:t xml:space="preserve">; </w:t>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ІПН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SJUR_AGNIDNUMB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011817626659</w:t>
            </w:r>
            <w:r w:rsidRPr="00C15BE4">
              <w:rPr>
                <w:rFonts w:eastAsia="HG Mincho Light J"/>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тел.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SJUR_PHONE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rPr>
              <w:t>044-422-81-44</w:t>
            </w:r>
            <w:r w:rsidRPr="00C15BE4">
              <w:rPr>
                <w:rFonts w:eastAsia="HG Mincho Light J"/>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 xml:space="preserve">Email:  </w:t>
            </w:r>
            <w:r w:rsidRPr="00C15BE4">
              <w:rPr>
                <w:rFonts w:eastAsia="HG Mincho Light J"/>
                <w:color w:val="000000"/>
                <w:sz w:val="24"/>
                <w:szCs w:val="24"/>
                <w:u w:val="none"/>
              </w:rPr>
              <w:fldChar w:fldCharType="begin"/>
            </w:r>
            <w:r w:rsidRPr="00C15BE4">
              <w:rPr>
                <w:rFonts w:eastAsia="HG Mincho Light J"/>
                <w:color w:val="000000"/>
                <w:sz w:val="24"/>
                <w:szCs w:val="24"/>
                <w:u w:val="none"/>
              </w:rPr>
              <w:instrText xml:space="preserve"> DOCVARIABLE  SJUR_MAIL  \* MERGEFORMAT </w:instrText>
            </w:r>
            <w:r w:rsidRPr="00C15BE4">
              <w:rPr>
                <w:rFonts w:eastAsia="HG Mincho Light J"/>
                <w:color w:val="000000"/>
                <w:sz w:val="24"/>
                <w:szCs w:val="24"/>
                <w:u w:val="none"/>
              </w:rPr>
              <w:fldChar w:fldCharType="separate"/>
            </w:r>
            <w:r w:rsidRPr="00C15BE4">
              <w:rPr>
                <w:rFonts w:eastAsia="HG Mincho Light J"/>
                <w:color w:val="000000"/>
                <w:sz w:val="24"/>
                <w:szCs w:val="24"/>
                <w:u w:val="none"/>
                <w:lang w:val="en-US"/>
              </w:rPr>
              <w:t>centre</w:t>
            </w:r>
            <w:r w:rsidRPr="00C15BE4">
              <w:rPr>
                <w:rFonts w:eastAsia="HG Mincho Light J"/>
                <w:color w:val="000000"/>
                <w:sz w:val="24"/>
                <w:szCs w:val="24"/>
                <w:u w:val="none"/>
              </w:rPr>
              <w:t>@</w:t>
            </w:r>
            <w:r w:rsidRPr="00C15BE4">
              <w:rPr>
                <w:rFonts w:eastAsia="HG Mincho Light J"/>
                <w:color w:val="000000"/>
                <w:sz w:val="24"/>
                <w:szCs w:val="24"/>
                <w:u w:val="none"/>
                <w:lang w:val="en-US"/>
              </w:rPr>
              <w:t>ucrf</w:t>
            </w:r>
            <w:r w:rsidRPr="00C15BE4">
              <w:rPr>
                <w:rFonts w:eastAsia="HG Mincho Light J"/>
                <w:color w:val="000000"/>
                <w:sz w:val="24"/>
                <w:szCs w:val="24"/>
                <w:u w:val="none"/>
              </w:rPr>
              <w:t>.</w:t>
            </w:r>
            <w:r w:rsidRPr="00C15BE4">
              <w:rPr>
                <w:rFonts w:eastAsia="HG Mincho Light J"/>
                <w:color w:val="000000"/>
                <w:sz w:val="24"/>
                <w:szCs w:val="24"/>
                <w:u w:val="none"/>
                <w:lang w:val="en-US"/>
              </w:rPr>
              <w:t>gov</w:t>
            </w:r>
            <w:r w:rsidRPr="00C15BE4">
              <w:rPr>
                <w:rFonts w:eastAsia="HG Mincho Light J"/>
                <w:color w:val="000000"/>
                <w:sz w:val="24"/>
                <w:szCs w:val="24"/>
                <w:u w:val="none"/>
              </w:rPr>
              <w:t>.</w:t>
            </w:r>
            <w:r w:rsidRPr="00C15BE4">
              <w:rPr>
                <w:rFonts w:eastAsia="HG Mincho Light J"/>
                <w:color w:val="000000"/>
                <w:sz w:val="24"/>
                <w:szCs w:val="24"/>
                <w:u w:val="none"/>
                <w:lang w:val="en-US"/>
              </w:rPr>
              <w:t>ua</w:t>
            </w:r>
            <w:r w:rsidRPr="00C15BE4">
              <w:rPr>
                <w:rFonts w:eastAsia="HG Mincho Light J"/>
                <w:color w:val="000000"/>
                <w:sz w:val="24"/>
                <w:szCs w:val="24"/>
                <w:u w:val="none"/>
              </w:rPr>
              <w:fldChar w:fldCharType="end"/>
            </w:r>
          </w:p>
          <w:p w:rsidR="00C15BE4" w:rsidRPr="00C15BE4" w:rsidRDefault="00C15BE4" w:rsidP="00C15BE4">
            <w:pPr>
              <w:widowControl w:val="0"/>
              <w:suppressAutoHyphens/>
              <w:rPr>
                <w:rFonts w:eastAsia="HG Mincho Light J"/>
                <w:color w:val="000000"/>
                <w:sz w:val="24"/>
                <w:szCs w:val="24"/>
                <w:u w:val="none"/>
              </w:rPr>
            </w:pPr>
            <w:r w:rsidRPr="00C15BE4">
              <w:rPr>
                <w:rFonts w:eastAsia="HG Mincho Light J"/>
                <w:color w:val="000000"/>
                <w:sz w:val="24"/>
                <w:szCs w:val="24"/>
                <w:u w:val="none"/>
              </w:rPr>
              <w:t>код згідно з ДК 016:2010 – 61.90</w:t>
            </w:r>
          </w:p>
          <w:p w:rsidR="00C15BE4" w:rsidRPr="00C15BE4" w:rsidRDefault="00C15BE4" w:rsidP="00C15BE4">
            <w:pPr>
              <w:widowControl w:val="0"/>
              <w:suppressAutoHyphens/>
              <w:rPr>
                <w:rFonts w:eastAsia="HG Mincho Light J"/>
                <w:b/>
                <w:bCs/>
                <w:color w:val="000000"/>
                <w:sz w:val="24"/>
                <w:szCs w:val="24"/>
                <w:u w:val="none"/>
              </w:rPr>
            </w:pPr>
          </w:p>
          <w:p w:rsidR="00C15BE4" w:rsidRPr="00C15BE4" w:rsidRDefault="00C15BE4" w:rsidP="00C15BE4">
            <w:pPr>
              <w:spacing w:line="276" w:lineRule="auto"/>
              <w:jc w:val="both"/>
              <w:rPr>
                <w:rFonts w:eastAsia="HG Mincho Light J"/>
                <w:b/>
                <w:bCs/>
                <w:color w:val="000000"/>
                <w:sz w:val="24"/>
                <w:szCs w:val="24"/>
                <w:u w:val="none"/>
              </w:rPr>
            </w:pPr>
            <w:r w:rsidRPr="00C15BE4">
              <w:rPr>
                <w:rFonts w:eastAsia="HG Mincho Light J"/>
                <w:b/>
                <w:bCs/>
                <w:color w:val="000000"/>
                <w:sz w:val="24"/>
                <w:szCs w:val="24"/>
                <w:u w:val="none"/>
              </w:rPr>
              <w:t xml:space="preserve">Директор з радіочастотного моніторингу та питань РЕЗ </w:t>
            </w:r>
          </w:p>
          <w:p w:rsidR="00C15BE4" w:rsidRPr="00C15BE4" w:rsidRDefault="00C15BE4" w:rsidP="00C15BE4">
            <w:pPr>
              <w:spacing w:line="276" w:lineRule="auto"/>
              <w:jc w:val="both"/>
              <w:rPr>
                <w:rFonts w:eastAsia="HG Mincho Light J"/>
                <w:b/>
                <w:bCs/>
                <w:color w:val="000000"/>
                <w:sz w:val="24"/>
                <w:szCs w:val="24"/>
                <w:u w:val="none"/>
              </w:rPr>
            </w:pPr>
          </w:p>
          <w:p w:rsidR="00C15BE4" w:rsidRPr="00C15BE4" w:rsidRDefault="00C15BE4" w:rsidP="00C15BE4">
            <w:pPr>
              <w:spacing w:line="276" w:lineRule="auto"/>
              <w:jc w:val="both"/>
              <w:rPr>
                <w:rFonts w:eastAsia="HG Mincho Light J"/>
                <w:b/>
                <w:bCs/>
                <w:color w:val="000000"/>
                <w:sz w:val="24"/>
                <w:szCs w:val="24"/>
                <w:u w:val="none"/>
              </w:rPr>
            </w:pPr>
            <w:r w:rsidRPr="00C15BE4">
              <w:rPr>
                <w:rFonts w:eastAsia="HG Mincho Light J"/>
                <w:b/>
                <w:bCs/>
                <w:color w:val="000000"/>
                <w:sz w:val="24"/>
                <w:szCs w:val="24"/>
                <w:u w:val="none"/>
              </w:rPr>
              <w:t xml:space="preserve"> ______________ Микола КОВАЛЬЧУК</w:t>
            </w:r>
          </w:p>
        </w:tc>
        <w:bookmarkStart w:id="0" w:name="_GoBack"/>
        <w:bookmarkEnd w:id="0"/>
      </w:tr>
    </w:tbl>
    <w:p w:rsidR="008A38F9" w:rsidRPr="00C15BE4" w:rsidRDefault="008A38F9">
      <w:pPr>
        <w:rPr>
          <w:sz w:val="24"/>
          <w:szCs w:val="24"/>
        </w:rPr>
      </w:pPr>
    </w:p>
    <w:sectPr w:rsidR="008A38F9" w:rsidRPr="00C15BE4">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5A" w:rsidRDefault="008A395A" w:rsidP="00C15BE4">
      <w:r>
        <w:separator/>
      </w:r>
    </w:p>
  </w:endnote>
  <w:endnote w:type="continuationSeparator" w:id="0">
    <w:p w:rsidR="008A395A" w:rsidRDefault="008A395A" w:rsidP="00C1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43279"/>
      <w:docPartObj>
        <w:docPartGallery w:val="Page Numbers (Bottom of Page)"/>
        <w:docPartUnique/>
      </w:docPartObj>
    </w:sdtPr>
    <w:sdtContent>
      <w:p w:rsidR="00C15BE4" w:rsidRDefault="00C15BE4">
        <w:pPr>
          <w:pStyle w:val="a6"/>
          <w:jc w:val="center"/>
        </w:pPr>
        <w:r w:rsidRPr="00C15BE4">
          <w:rPr>
            <w:color w:val="auto"/>
            <w:sz w:val="24"/>
            <w:u w:val="none"/>
          </w:rPr>
          <w:fldChar w:fldCharType="begin"/>
        </w:r>
        <w:r w:rsidRPr="00C15BE4">
          <w:rPr>
            <w:color w:val="auto"/>
            <w:sz w:val="24"/>
            <w:u w:val="none"/>
          </w:rPr>
          <w:instrText>PAGE   \* MERGEFORMAT</w:instrText>
        </w:r>
        <w:r w:rsidRPr="00C15BE4">
          <w:rPr>
            <w:color w:val="auto"/>
            <w:sz w:val="24"/>
            <w:u w:val="none"/>
          </w:rPr>
          <w:fldChar w:fldCharType="separate"/>
        </w:r>
        <w:r w:rsidRPr="00C15BE4">
          <w:rPr>
            <w:noProof/>
            <w:color w:val="auto"/>
            <w:sz w:val="24"/>
            <w:u w:val="none"/>
            <w:lang w:val="ru-RU"/>
          </w:rPr>
          <w:t>2</w:t>
        </w:r>
        <w:r w:rsidRPr="00C15BE4">
          <w:rPr>
            <w:color w:val="auto"/>
            <w:sz w:val="24"/>
            <w:u w:val="none"/>
          </w:rPr>
          <w:fldChar w:fldCharType="end"/>
        </w:r>
      </w:p>
    </w:sdtContent>
  </w:sdt>
  <w:p w:rsidR="00C15BE4" w:rsidRDefault="00C15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5A" w:rsidRDefault="008A395A" w:rsidP="00C15BE4">
      <w:r>
        <w:separator/>
      </w:r>
    </w:p>
  </w:footnote>
  <w:footnote w:type="continuationSeparator" w:id="0">
    <w:p w:rsidR="008A395A" w:rsidRDefault="008A395A" w:rsidP="00C1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3E57"/>
    <w:multiLevelType w:val="multilevel"/>
    <w:tmpl w:val="0422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30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22"/>
    <w:rsid w:val="00185DB9"/>
    <w:rsid w:val="00255DEA"/>
    <w:rsid w:val="00677B22"/>
    <w:rsid w:val="0071468F"/>
    <w:rsid w:val="007E3564"/>
    <w:rsid w:val="008A38F9"/>
    <w:rsid w:val="008A395A"/>
    <w:rsid w:val="00B24255"/>
    <w:rsid w:val="00BD313D"/>
    <w:rsid w:val="00BF3DE2"/>
    <w:rsid w:val="00C15BE4"/>
    <w:rsid w:val="00DE1848"/>
    <w:rsid w:val="00EF3593"/>
    <w:rsid w:val="00F71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275A"/>
  <w15:chartTrackingRefBased/>
  <w15:docId w15:val="{4F9407DE-6404-418A-9DF7-AF4C7D54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22"/>
    <w:pPr>
      <w:spacing w:after="0" w:line="240" w:lineRule="auto"/>
    </w:pPr>
    <w:rPr>
      <w:rFonts w:ascii="Times New Roman" w:eastAsia="Times New Roman" w:hAnsi="Times New Roman" w:cs="Times New Roman"/>
      <w:color w:val="FF00FF"/>
      <w:sz w:val="36"/>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7B2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7E356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59"/>
    <w:rsid w:val="00C15BE4"/>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BE4"/>
    <w:pPr>
      <w:tabs>
        <w:tab w:val="center" w:pos="4677"/>
        <w:tab w:val="right" w:pos="9355"/>
      </w:tabs>
    </w:pPr>
  </w:style>
  <w:style w:type="character" w:customStyle="1" w:styleId="a5">
    <w:name w:val="Верхний колонтитул Знак"/>
    <w:basedOn w:val="a0"/>
    <w:link w:val="a4"/>
    <w:uiPriority w:val="99"/>
    <w:rsid w:val="00C15BE4"/>
    <w:rPr>
      <w:rFonts w:ascii="Times New Roman" w:eastAsia="Times New Roman" w:hAnsi="Times New Roman" w:cs="Times New Roman"/>
      <w:color w:val="FF00FF"/>
      <w:sz w:val="36"/>
      <w:szCs w:val="20"/>
      <w:u w:val="single"/>
      <w:lang w:eastAsia="ru-RU"/>
    </w:rPr>
  </w:style>
  <w:style w:type="paragraph" w:styleId="a6">
    <w:name w:val="footer"/>
    <w:basedOn w:val="a"/>
    <w:link w:val="a7"/>
    <w:uiPriority w:val="99"/>
    <w:unhideWhenUsed/>
    <w:rsid w:val="00C15BE4"/>
    <w:pPr>
      <w:tabs>
        <w:tab w:val="center" w:pos="4677"/>
        <w:tab w:val="right" w:pos="9355"/>
      </w:tabs>
    </w:pPr>
  </w:style>
  <w:style w:type="character" w:customStyle="1" w:styleId="a7">
    <w:name w:val="Нижний колонтитул Знак"/>
    <w:basedOn w:val="a0"/>
    <w:link w:val="a6"/>
    <w:uiPriority w:val="99"/>
    <w:rsid w:val="00C15BE4"/>
    <w:rPr>
      <w:rFonts w:ascii="Times New Roman" w:eastAsia="Times New Roman" w:hAnsi="Times New Roman" w:cs="Times New Roman"/>
      <w:color w:val="FF00FF"/>
      <w:sz w:val="36"/>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9610</Words>
  <Characters>5478</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СТОЛЯРЧУК Олена Станіславівна</dc:creator>
  <cp:keywords/>
  <dc:description/>
  <cp:lastModifiedBy>ФАСТОВЕЦЬ Олена Анатоліївна</cp:lastModifiedBy>
  <cp:revision>2</cp:revision>
  <dcterms:created xsi:type="dcterms:W3CDTF">2025-01-07T09:52:00Z</dcterms:created>
  <dcterms:modified xsi:type="dcterms:W3CDTF">2025-01-07T09:52:00Z</dcterms:modified>
</cp:coreProperties>
</file>