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49" w:rsidRPr="000B3835" w:rsidRDefault="00A71B49" w:rsidP="0057739E">
      <w:pPr>
        <w:ind w:right="111"/>
        <w:jc w:val="right"/>
        <w:rPr>
          <w:i/>
          <w:color w:val="auto"/>
          <w:sz w:val="20"/>
          <w:szCs w:val="22"/>
        </w:rPr>
      </w:pPr>
      <w:r w:rsidRPr="000B3835">
        <w:rPr>
          <w:i/>
          <w:color w:val="auto"/>
          <w:sz w:val="20"/>
          <w:szCs w:val="22"/>
        </w:rPr>
        <w:t>Додаток 3</w:t>
      </w:r>
    </w:p>
    <w:p w:rsidR="00A71B49" w:rsidRPr="000B3835" w:rsidRDefault="00A71B49" w:rsidP="0057739E">
      <w:pPr>
        <w:ind w:right="111"/>
        <w:jc w:val="right"/>
        <w:rPr>
          <w:i/>
          <w:color w:val="auto"/>
          <w:sz w:val="20"/>
          <w:szCs w:val="22"/>
        </w:rPr>
      </w:pPr>
      <w:r w:rsidRPr="000B3835">
        <w:rPr>
          <w:i/>
          <w:color w:val="auto"/>
          <w:sz w:val="20"/>
          <w:szCs w:val="22"/>
        </w:rPr>
        <w:t>до Порядку виконання та надання розрахунку електромагнітної сумісності</w:t>
      </w:r>
    </w:p>
    <w:p w:rsidR="00A71B49" w:rsidRPr="000B3835" w:rsidRDefault="00A71B49" w:rsidP="0057739E">
      <w:pPr>
        <w:ind w:right="111"/>
        <w:jc w:val="right"/>
        <w:rPr>
          <w:i/>
          <w:color w:val="auto"/>
          <w:sz w:val="20"/>
          <w:szCs w:val="22"/>
        </w:rPr>
      </w:pPr>
      <w:r w:rsidRPr="000B3835">
        <w:rPr>
          <w:i/>
          <w:color w:val="auto"/>
          <w:sz w:val="20"/>
          <w:szCs w:val="22"/>
        </w:rPr>
        <w:t xml:space="preserve">для загальних користувачів (пункт </w:t>
      </w:r>
      <w:r w:rsidRPr="007D301F">
        <w:rPr>
          <w:i/>
          <w:color w:val="auto"/>
          <w:sz w:val="20"/>
          <w:szCs w:val="22"/>
        </w:rPr>
        <w:t>4 розділ</w:t>
      </w:r>
      <w:r w:rsidR="00A9373B" w:rsidRPr="007D301F">
        <w:rPr>
          <w:i/>
          <w:color w:val="auto"/>
          <w:sz w:val="20"/>
          <w:szCs w:val="22"/>
        </w:rPr>
        <w:t>у</w:t>
      </w:r>
      <w:r w:rsidRPr="000B3835">
        <w:rPr>
          <w:i/>
          <w:color w:val="auto"/>
          <w:sz w:val="20"/>
          <w:szCs w:val="22"/>
        </w:rPr>
        <w:t xml:space="preserve"> ІІ)</w:t>
      </w:r>
    </w:p>
    <w:p w:rsidR="00A71B49" w:rsidRPr="000B3835" w:rsidRDefault="00A71B49" w:rsidP="0057739E">
      <w:pPr>
        <w:pStyle w:val="1"/>
        <w:numPr>
          <w:ilvl w:val="0"/>
          <w:numId w:val="1"/>
        </w:numPr>
        <w:ind w:left="0" w:right="111" w:firstLine="0"/>
        <w:jc w:val="left"/>
        <w:rPr>
          <w:color w:val="auto"/>
          <w:sz w:val="24"/>
          <w:szCs w:val="22"/>
        </w:rPr>
      </w:pPr>
      <w:r w:rsidRPr="000B3835">
        <w:rPr>
          <w:color w:val="auto"/>
          <w:sz w:val="24"/>
          <w:szCs w:val="22"/>
        </w:rPr>
        <w:t>РР-1</w:t>
      </w:r>
      <w:r w:rsidR="004843ED">
        <w:rPr>
          <w:color w:val="auto"/>
          <w:sz w:val="24"/>
          <w:szCs w:val="22"/>
        </w:rPr>
        <w:t xml:space="preserve"> </w:t>
      </w:r>
      <w:bookmarkStart w:id="0" w:name="_GoBack"/>
      <w:bookmarkEnd w:id="0"/>
    </w:p>
    <w:p w:rsidR="00A71B49" w:rsidRPr="000B3835" w:rsidRDefault="00A71B49" w:rsidP="0057739E">
      <w:pPr>
        <w:pStyle w:val="1"/>
        <w:numPr>
          <w:ilvl w:val="0"/>
          <w:numId w:val="1"/>
        </w:numPr>
        <w:ind w:left="0" w:right="111" w:firstLine="0"/>
        <w:rPr>
          <w:color w:val="auto"/>
          <w:sz w:val="24"/>
          <w:szCs w:val="22"/>
        </w:rPr>
      </w:pPr>
      <w:r w:rsidRPr="000B3835">
        <w:rPr>
          <w:color w:val="auto"/>
          <w:sz w:val="24"/>
          <w:szCs w:val="22"/>
        </w:rPr>
        <w:t>ЗАМОВЛЕННЯ</w:t>
      </w:r>
    </w:p>
    <w:p w:rsidR="00EC5BB0" w:rsidRPr="000B3835" w:rsidRDefault="00A71B49" w:rsidP="0057739E">
      <w:pPr>
        <w:ind w:right="111"/>
        <w:jc w:val="center"/>
        <w:rPr>
          <w:b/>
          <w:color w:val="auto"/>
          <w:szCs w:val="22"/>
        </w:rPr>
      </w:pPr>
      <w:r w:rsidRPr="000B3835">
        <w:rPr>
          <w:b/>
          <w:color w:val="auto"/>
          <w:szCs w:val="22"/>
        </w:rPr>
        <w:t xml:space="preserve">для виконання та надання Розрахунку електромагнітної сумісності (ЕМС) радіообладнання (РО) </w:t>
      </w:r>
      <w:r w:rsidR="00EC5BB0" w:rsidRPr="000B3835">
        <w:rPr>
          <w:b/>
          <w:color w:val="auto"/>
          <w:szCs w:val="22"/>
        </w:rPr>
        <w:t xml:space="preserve">радіотехнології </w:t>
      </w:r>
    </w:p>
    <w:p w:rsidR="00EC5BB0" w:rsidRPr="000B3835" w:rsidRDefault="00C6062D" w:rsidP="0057739E">
      <w:pPr>
        <w:ind w:right="111"/>
        <w:jc w:val="center"/>
        <w:rPr>
          <w:b/>
          <w:color w:val="auto"/>
          <w:szCs w:val="22"/>
        </w:rPr>
      </w:pPr>
      <w:r>
        <w:rPr>
          <w:b/>
          <w:color w:val="auto"/>
          <w:szCs w:val="22"/>
        </w:rPr>
        <w:t>________________________________________________________</w:t>
      </w:r>
    </w:p>
    <w:p w:rsidR="00EC5BB0" w:rsidRPr="000B3835" w:rsidRDefault="00EC5BB0" w:rsidP="0057739E">
      <w:pPr>
        <w:ind w:right="111"/>
        <w:jc w:val="center"/>
        <w:rPr>
          <w:b/>
          <w:color w:val="auto"/>
          <w:szCs w:val="22"/>
        </w:rPr>
      </w:pPr>
    </w:p>
    <w:tbl>
      <w:tblPr>
        <w:tblStyle w:val="a7"/>
        <w:tblW w:w="1468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2"/>
        <w:gridCol w:w="7342"/>
      </w:tblGrid>
      <w:tr w:rsidR="000B3835" w:rsidRPr="000B3835" w:rsidTr="00133E54">
        <w:trPr>
          <w:trHeight w:val="20"/>
        </w:trPr>
        <w:tc>
          <w:tcPr>
            <w:tcW w:w="7342" w:type="dxa"/>
          </w:tcPr>
          <w:p w:rsidR="004C6EED" w:rsidRPr="000B3835" w:rsidRDefault="004C6EED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 xml:space="preserve">Найменування суб’єкта господарювання </w:t>
            </w:r>
          </w:p>
          <w:p w:rsidR="004C6EED" w:rsidRPr="000B3835" w:rsidRDefault="004C6EED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b/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(для фізичної особи - прізвище, власне ім’я, по батькові (за наявності))</w:t>
            </w:r>
          </w:p>
        </w:tc>
        <w:tc>
          <w:tcPr>
            <w:tcW w:w="7342" w:type="dxa"/>
            <w:shd w:val="clear" w:color="auto" w:fill="auto"/>
          </w:tcPr>
          <w:p w:rsidR="004C6EED" w:rsidRPr="000B3835" w:rsidRDefault="004C6EED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4C6EED" w:rsidRPr="000B3835" w:rsidRDefault="004C6EED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Код за ЄДРПОУ (для юридичної особи)</w:t>
            </w:r>
          </w:p>
        </w:tc>
        <w:tc>
          <w:tcPr>
            <w:tcW w:w="7342" w:type="dxa"/>
            <w:shd w:val="clear" w:color="auto" w:fill="auto"/>
          </w:tcPr>
          <w:p w:rsidR="004C6EED" w:rsidRPr="000B3835" w:rsidRDefault="004C6EED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4C6EED" w:rsidRPr="000B3835" w:rsidRDefault="004C6EED" w:rsidP="0057739E">
            <w:pPr>
              <w:ind w:left="108"/>
              <w:jc w:val="both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Реєстраційний номер облікової картки платника</w:t>
            </w:r>
          </w:p>
          <w:p w:rsidR="004C6EED" w:rsidRPr="000B3835" w:rsidRDefault="004C6EED" w:rsidP="0057739E">
            <w:pPr>
              <w:ind w:left="108"/>
              <w:jc w:val="both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податків або серія (за наявності) та номер паспорта</w:t>
            </w:r>
            <w:r w:rsidRPr="000B3835">
              <w:rPr>
                <w:color w:val="auto"/>
                <w:sz w:val="22"/>
                <w:szCs w:val="22"/>
                <w:vertAlign w:val="superscript"/>
              </w:rPr>
              <w:footnoteReference w:id="1"/>
            </w:r>
            <w:r w:rsidRPr="000B3835">
              <w:rPr>
                <w:color w:val="auto"/>
                <w:sz w:val="22"/>
                <w:szCs w:val="22"/>
                <w:vertAlign w:val="superscript"/>
              </w:rPr>
              <w:t xml:space="preserve"> </w:t>
            </w:r>
            <w:r w:rsidRPr="000B3835">
              <w:rPr>
                <w:color w:val="auto"/>
                <w:sz w:val="22"/>
                <w:szCs w:val="22"/>
              </w:rPr>
              <w:t>(для фізичної особи)</w:t>
            </w:r>
          </w:p>
        </w:tc>
        <w:tc>
          <w:tcPr>
            <w:tcW w:w="7342" w:type="dxa"/>
            <w:shd w:val="clear" w:color="auto" w:fill="auto"/>
          </w:tcPr>
          <w:p w:rsidR="004C6EED" w:rsidRPr="000B3835" w:rsidRDefault="004C6EED" w:rsidP="0057739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Місцезнаходження (для юридичної особи)</w:t>
            </w:r>
          </w:p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або місце проживання (для фізичної особи)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proofErr w:type="spellStart"/>
            <w:r w:rsidRPr="000B3835">
              <w:rPr>
                <w:color w:val="auto"/>
                <w:sz w:val="22"/>
                <w:szCs w:val="22"/>
              </w:rPr>
              <w:t>Радіотехнологія</w:t>
            </w:r>
            <w:proofErr w:type="spellEnd"/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Ліцензія на користування радіочастотним спектром (номер та дата видачі)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Регіон використання радіообладнання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  <w:highlight w:val="yellow"/>
              </w:rPr>
            </w:pPr>
            <w:r w:rsidRPr="000B3835">
              <w:rPr>
                <w:color w:val="auto"/>
                <w:sz w:val="22"/>
                <w:szCs w:val="22"/>
              </w:rPr>
              <w:t xml:space="preserve">Стандарт </w:t>
            </w:r>
            <w:r w:rsidR="0052100C" w:rsidRPr="000B3835">
              <w:rPr>
                <w:color w:val="auto"/>
                <w:sz w:val="22"/>
                <w:szCs w:val="22"/>
              </w:rPr>
              <w:t>(за наявності)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Назва/тип радіообладнання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Діапазон робочих частот, МГц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Повний клас випромінювання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0B3835" w:rsidRPr="000B3835" w:rsidTr="00133E54">
        <w:trPr>
          <w:trHeight w:val="20"/>
        </w:trPr>
        <w:tc>
          <w:tcPr>
            <w:tcW w:w="7342" w:type="dxa"/>
          </w:tcPr>
          <w:p w:rsidR="009C54A8" w:rsidRPr="000B3835" w:rsidRDefault="009C54A8" w:rsidP="0057739E">
            <w:pPr>
              <w:ind w:left="108"/>
              <w:rPr>
                <w:color w:val="auto"/>
                <w:sz w:val="22"/>
                <w:szCs w:val="22"/>
              </w:rPr>
            </w:pPr>
            <w:r w:rsidRPr="000B3835">
              <w:rPr>
                <w:color w:val="auto"/>
                <w:sz w:val="22"/>
                <w:szCs w:val="22"/>
              </w:rPr>
              <w:t>Номер запису в Реєстрі радіообладнання та випромінювальних пристроїв</w:t>
            </w:r>
          </w:p>
        </w:tc>
        <w:tc>
          <w:tcPr>
            <w:tcW w:w="7342" w:type="dxa"/>
            <w:shd w:val="clear" w:color="auto" w:fill="auto"/>
          </w:tcPr>
          <w:p w:rsidR="009C54A8" w:rsidRPr="000B3835" w:rsidRDefault="009C54A8" w:rsidP="0057739E">
            <w:pPr>
              <w:jc w:val="center"/>
              <w:rPr>
                <w:b/>
                <w:color w:val="auto"/>
                <w:sz w:val="22"/>
                <w:szCs w:val="22"/>
              </w:rPr>
            </w:pPr>
            <w:bookmarkStart w:id="1" w:name="_3znysh7" w:colFirst="0" w:colLast="0"/>
            <w:bookmarkEnd w:id="1"/>
          </w:p>
        </w:tc>
      </w:tr>
      <w:tr w:rsidR="000B3835" w:rsidRPr="000B3835" w:rsidTr="00E323D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42" w:type="dxa"/>
          </w:tcPr>
          <w:p w:rsidR="004F5EC1" w:rsidRPr="000B3835" w:rsidRDefault="00133E54" w:rsidP="0057739E">
            <w:pPr>
              <w:ind w:left="108"/>
              <w:rPr>
                <w:color w:val="auto"/>
                <w:sz w:val="22"/>
                <w:szCs w:val="22"/>
                <w:highlight w:val="white"/>
              </w:rPr>
            </w:pPr>
            <w:r w:rsidRPr="000B3835">
              <w:rPr>
                <w:color w:val="auto"/>
                <w:sz w:val="22"/>
                <w:szCs w:val="22"/>
                <w:highlight w:val="white"/>
              </w:rPr>
              <w:t>Інші суттєві вимоги чи пояснення (за потреби)</w:t>
            </w:r>
            <w:r w:rsidRPr="00716161">
              <w:rPr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342" w:type="dxa"/>
          </w:tcPr>
          <w:p w:rsidR="00133E54" w:rsidRPr="000B3835" w:rsidRDefault="00133E54" w:rsidP="0057739E">
            <w:pPr>
              <w:jc w:val="center"/>
              <w:rPr>
                <w:color w:val="auto"/>
                <w:sz w:val="22"/>
                <w:szCs w:val="22"/>
                <w:highlight w:val="white"/>
              </w:rPr>
            </w:pPr>
          </w:p>
        </w:tc>
      </w:tr>
      <w:tr w:rsidR="000B3835" w:rsidRPr="000B3835" w:rsidTr="00133E5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342" w:type="dxa"/>
          </w:tcPr>
          <w:p w:rsidR="004F5EC1" w:rsidRPr="000B3835" w:rsidRDefault="004F5EC1" w:rsidP="0057739E">
            <w:pPr>
              <w:ind w:left="108"/>
              <w:rPr>
                <w:i/>
                <w:color w:val="auto"/>
                <w:sz w:val="18"/>
                <w:szCs w:val="20"/>
              </w:rPr>
            </w:pPr>
            <w:r w:rsidRPr="000B3835">
              <w:rPr>
                <w:i/>
                <w:color w:val="auto"/>
                <w:sz w:val="18"/>
                <w:szCs w:val="20"/>
              </w:rPr>
              <w:t>(у випадках модифікації технічних параметрів та умов розрахунку ЕМС)</w:t>
            </w:r>
          </w:p>
          <w:p w:rsidR="004F5EC1" w:rsidRPr="000B3835" w:rsidRDefault="004F5EC1" w:rsidP="0057739E">
            <w:pPr>
              <w:ind w:left="108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Номер розрахунку ЕМС або Номер присвоєння радіочастоти</w:t>
            </w:r>
          </w:p>
          <w:p w:rsidR="00133E54" w:rsidRPr="000B3835" w:rsidRDefault="004F5EC1" w:rsidP="0057739E">
            <w:pPr>
              <w:ind w:left="108"/>
              <w:rPr>
                <w:color w:val="auto"/>
                <w:sz w:val="22"/>
                <w:szCs w:val="22"/>
                <w:highlight w:val="white"/>
              </w:rPr>
            </w:pPr>
            <w:r w:rsidRPr="000B3835">
              <w:rPr>
                <w:i/>
                <w:color w:val="auto"/>
                <w:sz w:val="18"/>
                <w:szCs w:val="20"/>
              </w:rPr>
              <w:t>(номер запису в реєстрі присвоєння радіочастот загальних користувачів)</w:t>
            </w:r>
            <w:r w:rsidR="00133E54" w:rsidRPr="000B3835">
              <w:rPr>
                <w:color w:val="auto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7342" w:type="dxa"/>
          </w:tcPr>
          <w:p w:rsidR="00133E54" w:rsidRPr="000B3835" w:rsidRDefault="00133E54" w:rsidP="0057739E">
            <w:pPr>
              <w:jc w:val="center"/>
              <w:rPr>
                <w:color w:val="auto"/>
                <w:sz w:val="22"/>
                <w:szCs w:val="22"/>
                <w:highlight w:val="white"/>
              </w:rPr>
            </w:pPr>
          </w:p>
        </w:tc>
      </w:tr>
    </w:tbl>
    <w:p w:rsidR="009C54A8" w:rsidRPr="000B3835" w:rsidRDefault="009C54A8" w:rsidP="0057739E">
      <w:pPr>
        <w:ind w:left="992" w:hanging="992"/>
        <w:rPr>
          <w:b/>
          <w:color w:val="auto"/>
          <w:sz w:val="22"/>
          <w:szCs w:val="22"/>
        </w:rPr>
      </w:pPr>
    </w:p>
    <w:p w:rsidR="001F0E27" w:rsidRPr="000B3835" w:rsidRDefault="001F0E27" w:rsidP="0057739E">
      <w:pPr>
        <w:rPr>
          <w:color w:val="auto"/>
          <w:sz w:val="22"/>
          <w:szCs w:val="22"/>
        </w:rPr>
      </w:pPr>
      <w:r w:rsidRPr="000B3835">
        <w:rPr>
          <w:color w:val="auto"/>
          <w:sz w:val="22"/>
          <w:szCs w:val="22"/>
        </w:rPr>
        <w:br w:type="page"/>
      </w:r>
    </w:p>
    <w:p w:rsidR="00A71B49" w:rsidRPr="000B3835" w:rsidRDefault="006E7B8F" w:rsidP="005773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auto"/>
          <w:sz w:val="22"/>
        </w:rPr>
      </w:pPr>
      <w:r w:rsidRPr="000B3835">
        <w:rPr>
          <w:b/>
          <w:color w:val="auto"/>
          <w:sz w:val="22"/>
        </w:rPr>
        <w:lastRenderedPageBreak/>
        <w:t>Частотний план</w:t>
      </w:r>
    </w:p>
    <w:tbl>
      <w:tblPr>
        <w:tblStyle w:val="aa"/>
        <w:tblW w:w="15735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10"/>
        <w:gridCol w:w="1275"/>
        <w:gridCol w:w="1269"/>
        <w:gridCol w:w="567"/>
        <w:gridCol w:w="810"/>
        <w:gridCol w:w="749"/>
        <w:gridCol w:w="709"/>
        <w:gridCol w:w="567"/>
        <w:gridCol w:w="567"/>
        <w:gridCol w:w="709"/>
        <w:gridCol w:w="567"/>
        <w:gridCol w:w="936"/>
        <w:gridCol w:w="1190"/>
        <w:gridCol w:w="1276"/>
      </w:tblGrid>
      <w:tr w:rsidR="00544856" w:rsidRPr="000B3835" w:rsidTr="00544856">
        <w:trPr>
          <w:cantSplit/>
          <w:trHeight w:val="464"/>
        </w:trPr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544856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16"/>
                <w:szCs w:val="20"/>
              </w:rPr>
            </w:pPr>
            <w:r w:rsidRPr="00544856">
              <w:rPr>
                <w:color w:val="auto"/>
                <w:sz w:val="16"/>
                <w:szCs w:val="20"/>
              </w:rPr>
              <w:t>Означення станції (сектора), код автоматичної ідентифікації радіообладнання в мережі оператора</w:t>
            </w:r>
          </w:p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18"/>
                <w:szCs w:val="20"/>
              </w:rPr>
            </w:pPr>
            <w:r w:rsidRPr="00544856">
              <w:rPr>
                <w:color w:val="auto"/>
                <w:sz w:val="16"/>
                <w:szCs w:val="20"/>
              </w:rPr>
              <w:t>згідно зі специфікацією відповідного стандарту</w:t>
            </w:r>
          </w:p>
        </w:tc>
        <w:tc>
          <w:tcPr>
            <w:tcW w:w="3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Адреса місця експлуатації радіообладнання, особливості встановлення антени</w:t>
            </w:r>
          </w:p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(вишка, башта, щогла, опора, стовп)</w:t>
            </w:r>
          </w:p>
        </w:tc>
        <w:tc>
          <w:tcPr>
            <w:tcW w:w="2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Географічні координати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Потужність передавача (Вт)</w:t>
            </w:r>
          </w:p>
        </w:tc>
        <w:tc>
          <w:tcPr>
            <w:tcW w:w="81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Назва/ тип антени</w:t>
            </w:r>
          </w:p>
        </w:tc>
        <w:tc>
          <w:tcPr>
            <w:tcW w:w="74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Коефіцієнт підсилення антени (</w:t>
            </w:r>
            <w:proofErr w:type="spellStart"/>
            <w:r w:rsidRPr="000B3835">
              <w:rPr>
                <w:color w:val="auto"/>
                <w:sz w:val="18"/>
                <w:szCs w:val="20"/>
              </w:rPr>
              <w:t>дБi</w:t>
            </w:r>
            <w:proofErr w:type="spellEnd"/>
            <w:r w:rsidRPr="000B3835">
              <w:rPr>
                <w:color w:val="auto"/>
                <w:sz w:val="18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Висота антени над рівнем землі, м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Механічний кут нахилу ДСА (градуси)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Електричний кут нахилу ДСА (градуси)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Азимут максимального випромінювання (градуси)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Затухання у фідерному тракті (</w:t>
            </w:r>
            <w:proofErr w:type="spellStart"/>
            <w:r w:rsidRPr="000B3835">
              <w:rPr>
                <w:color w:val="auto"/>
                <w:sz w:val="18"/>
                <w:szCs w:val="20"/>
              </w:rPr>
              <w:t>дБ</w:t>
            </w:r>
            <w:proofErr w:type="spellEnd"/>
            <w:r w:rsidRPr="000B3835">
              <w:rPr>
                <w:color w:val="auto"/>
                <w:sz w:val="18"/>
                <w:szCs w:val="20"/>
              </w:rPr>
              <w:t>)</w:t>
            </w:r>
          </w:p>
        </w:tc>
        <w:tc>
          <w:tcPr>
            <w:tcW w:w="93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Умовні номери каналів (за наявності)</w:t>
            </w:r>
          </w:p>
        </w:tc>
        <w:tc>
          <w:tcPr>
            <w:tcW w:w="119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Частоти приймання</w:t>
            </w:r>
          </w:p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(МГц)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Частоти передавання</w:t>
            </w:r>
          </w:p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4" w:firstLine="29"/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(МГц)</w:t>
            </w:r>
          </w:p>
        </w:tc>
      </w:tr>
      <w:tr w:rsidR="00544856" w:rsidRPr="000B3835" w:rsidTr="00544856">
        <w:trPr>
          <w:cantSplit/>
          <w:trHeight w:val="1294"/>
        </w:trPr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широта</w:t>
            </w:r>
            <w:r w:rsidRPr="000B3835">
              <w:rPr>
                <w:color w:val="auto"/>
                <w:sz w:val="18"/>
                <w:szCs w:val="20"/>
              </w:rPr>
              <w:br/>
              <w:t xml:space="preserve">(градуси, мінути, секунди, у форматі: </w:t>
            </w:r>
            <w:proofErr w:type="spellStart"/>
            <w:r w:rsidRPr="000B3835">
              <w:rPr>
                <w:color w:val="auto"/>
                <w:sz w:val="18"/>
                <w:szCs w:val="20"/>
              </w:rPr>
              <w:t>ггNммсс</w:t>
            </w:r>
            <w:proofErr w:type="spellEnd"/>
            <w:r w:rsidRPr="000B3835">
              <w:rPr>
                <w:color w:val="auto"/>
                <w:sz w:val="18"/>
                <w:szCs w:val="20"/>
              </w:rPr>
              <w:t>)</w:t>
            </w:r>
            <w:r w:rsidRPr="000B3835">
              <w:rPr>
                <w:color w:val="auto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jc w:val="center"/>
              <w:rPr>
                <w:color w:val="auto"/>
                <w:sz w:val="18"/>
                <w:szCs w:val="20"/>
              </w:rPr>
            </w:pPr>
            <w:r w:rsidRPr="000B3835">
              <w:rPr>
                <w:color w:val="auto"/>
                <w:sz w:val="18"/>
                <w:szCs w:val="20"/>
              </w:rPr>
              <w:t>довгота</w:t>
            </w:r>
            <w:r w:rsidRPr="000B3835">
              <w:rPr>
                <w:color w:val="auto"/>
                <w:sz w:val="18"/>
                <w:szCs w:val="20"/>
              </w:rPr>
              <w:br/>
              <w:t xml:space="preserve">(градуси, мінути, секунди, у форматі: </w:t>
            </w:r>
            <w:proofErr w:type="spellStart"/>
            <w:r w:rsidRPr="000B3835">
              <w:rPr>
                <w:color w:val="auto"/>
                <w:sz w:val="18"/>
                <w:szCs w:val="20"/>
              </w:rPr>
              <w:t>ггNммсс</w:t>
            </w:r>
            <w:proofErr w:type="spellEnd"/>
            <w:r w:rsidRPr="000B3835">
              <w:rPr>
                <w:color w:val="auto"/>
                <w:sz w:val="18"/>
                <w:szCs w:val="20"/>
              </w:rPr>
              <w:t>)</w:t>
            </w:r>
            <w:r w:rsidRPr="000B3835">
              <w:rPr>
                <w:color w:val="auto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4856" w:rsidRPr="000B3835" w:rsidRDefault="00544856" w:rsidP="00577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E6DEA" w:rsidRPr="000B3835" w:rsidTr="00760870">
        <w:trPr>
          <w:cantSplit/>
          <w:trHeight w:val="316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E6DEA" w:rsidRPr="000B3835" w:rsidTr="00760870">
        <w:trPr>
          <w:cantSplit/>
          <w:trHeight w:val="316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E6DEA" w:rsidRPr="000B3835" w:rsidRDefault="000E6DEA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B3835" w:rsidRPr="000B3835" w:rsidTr="00665152">
        <w:trPr>
          <w:cantSplit/>
          <w:trHeight w:val="316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B7ECD" w:rsidRPr="000B3835" w:rsidRDefault="009B7ECD" w:rsidP="0057739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6E7B8F" w:rsidRDefault="008E00F1" w:rsidP="00A21179">
      <w:pPr>
        <w:tabs>
          <w:tab w:val="left" w:pos="1464"/>
        </w:tabs>
        <w:rPr>
          <w:b/>
          <w:color w:val="auto"/>
          <w:sz w:val="20"/>
          <w:szCs w:val="20"/>
        </w:rPr>
      </w:pPr>
      <w:r w:rsidRPr="000B3835">
        <w:rPr>
          <w:b/>
          <w:color w:val="auto"/>
          <w:sz w:val="20"/>
          <w:szCs w:val="20"/>
        </w:rPr>
        <w:t>Оплату робіт (послуг) УДЦР гарантую</w:t>
      </w:r>
    </w:p>
    <w:p w:rsidR="00A21179" w:rsidRDefault="00A21179" w:rsidP="00A21179">
      <w:pPr>
        <w:tabs>
          <w:tab w:val="left" w:pos="1464"/>
        </w:tabs>
        <w:rPr>
          <w:b/>
          <w:color w:val="auto"/>
          <w:sz w:val="20"/>
          <w:szCs w:val="20"/>
        </w:rPr>
      </w:pPr>
    </w:p>
    <w:p w:rsidR="00A21179" w:rsidRDefault="00A21179" w:rsidP="00A21179">
      <w:pPr>
        <w:tabs>
          <w:tab w:val="left" w:pos="1464"/>
        </w:tabs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Заявник ___________________________________________________________</w:t>
      </w:r>
    </w:p>
    <w:p w:rsidR="00A21179" w:rsidRDefault="00A21179" w:rsidP="00A21179">
      <w:pPr>
        <w:tabs>
          <w:tab w:val="left" w:pos="1464"/>
        </w:tabs>
        <w:rPr>
          <w:i/>
          <w:color w:val="auto"/>
          <w:sz w:val="20"/>
          <w:szCs w:val="20"/>
        </w:rPr>
      </w:pPr>
      <w:r>
        <w:rPr>
          <w:i/>
          <w:color w:val="auto"/>
          <w:sz w:val="22"/>
          <w:szCs w:val="22"/>
        </w:rPr>
        <w:t xml:space="preserve">                                                      (посада, підпис, печатка, ПІБ)</w:t>
      </w:r>
    </w:p>
    <w:sectPr w:rsidR="00A21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394" w:right="1134" w:bottom="787" w:left="1134" w:header="281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2C" w:rsidRDefault="00257C2C">
      <w:r>
        <w:separator/>
      </w:r>
    </w:p>
  </w:endnote>
  <w:endnote w:type="continuationSeparator" w:id="0">
    <w:p w:rsidR="00257C2C" w:rsidRDefault="0025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91" w:rsidRDefault="00E8409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14742" w:type="dxa"/>
      <w:tblInd w:w="0" w:type="dxa"/>
      <w:tblLayout w:type="fixed"/>
      <w:tblLook w:val="0000" w:firstRow="0" w:lastRow="0" w:firstColumn="0" w:lastColumn="0" w:noHBand="0" w:noVBand="0"/>
    </w:tblPr>
    <w:tblGrid>
      <w:gridCol w:w="10773"/>
      <w:gridCol w:w="3969"/>
    </w:tblGrid>
    <w:tr w:rsidR="00043409" w:rsidTr="001F0E27">
      <w:tc>
        <w:tcPr>
          <w:tcW w:w="10773" w:type="dxa"/>
          <w:shd w:val="clear" w:color="auto" w:fill="auto"/>
        </w:tcPr>
        <w:p w:rsidR="00043409" w:rsidRDefault="00E84091" w:rsidP="00E84091">
          <w:pPr>
            <w:jc w:val="both"/>
          </w:pPr>
          <w:r w:rsidRPr="00B10834">
            <w:rPr>
              <w:color w:val="auto"/>
              <w:sz w:val="22"/>
              <w:szCs w:val="20"/>
            </w:rPr>
            <w:t xml:space="preserve">Дата і номер реєстрації заяви в УДЦР (Філії) </w:t>
          </w:r>
          <w:r>
            <w:rPr>
              <w:color w:val="auto"/>
              <w:sz w:val="22"/>
              <w:szCs w:val="20"/>
            </w:rPr>
            <w:t>________________</w:t>
          </w:r>
          <w:r w:rsidRPr="00B10834">
            <w:rPr>
              <w:color w:val="auto"/>
              <w:sz w:val="22"/>
              <w:szCs w:val="20"/>
            </w:rPr>
            <w:t xml:space="preserve"> року № </w:t>
          </w:r>
          <w:r>
            <w:rPr>
              <w:color w:val="auto"/>
              <w:sz w:val="22"/>
              <w:szCs w:val="20"/>
            </w:rPr>
            <w:t>______________</w:t>
          </w:r>
        </w:p>
      </w:tc>
      <w:tc>
        <w:tcPr>
          <w:tcW w:w="3969" w:type="dxa"/>
          <w:shd w:val="clear" w:color="auto" w:fill="auto"/>
        </w:tcPr>
        <w:p w:rsidR="00043409" w:rsidRDefault="00220DFE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843ED">
            <w:rPr>
              <w:noProof/>
            </w:rPr>
            <w:t>2</w:t>
          </w:r>
          <w:r>
            <w:fldChar w:fldCharType="end"/>
          </w:r>
        </w:p>
      </w:tc>
    </w:tr>
  </w:tbl>
  <w:p w:rsidR="00043409" w:rsidRPr="001F0E27" w:rsidRDefault="0004340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91" w:rsidRDefault="00E8409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2C" w:rsidRDefault="00257C2C">
      <w:r>
        <w:separator/>
      </w:r>
    </w:p>
  </w:footnote>
  <w:footnote w:type="continuationSeparator" w:id="0">
    <w:p w:rsidR="00257C2C" w:rsidRDefault="00257C2C">
      <w:r>
        <w:continuationSeparator/>
      </w:r>
    </w:p>
  </w:footnote>
  <w:footnote w:id="1">
    <w:p w:rsidR="004C6EED" w:rsidRDefault="004C6EED" w:rsidP="004C6EE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4"/>
          <w:szCs w:val="14"/>
        </w:rPr>
      </w:pPr>
      <w:r w:rsidRPr="00716161">
        <w:rPr>
          <w:highlight w:val="yellow"/>
          <w:vertAlign w:val="superscript"/>
        </w:rPr>
        <w:footnoteRef/>
      </w:r>
      <w:r w:rsidR="00684CE2">
        <w:rPr>
          <w:sz w:val="14"/>
          <w:szCs w:val="14"/>
          <w:highlight w:val="yellow"/>
        </w:rPr>
        <w:t xml:space="preserve"> </w:t>
      </w:r>
      <w:r w:rsidR="00684CE2">
        <w:rPr>
          <w:sz w:val="14"/>
          <w:szCs w:val="14"/>
          <w:lang w:val="en-US"/>
        </w:rPr>
        <w:t xml:space="preserve"> </w:t>
      </w:r>
      <w:r>
        <w:rPr>
          <w:sz w:val="14"/>
          <w:szCs w:val="14"/>
        </w:rPr>
        <w:t xml:space="preserve">Серія </w:t>
      </w:r>
      <w:r w:rsidR="008E451E" w:rsidRPr="007D301F">
        <w:rPr>
          <w:sz w:val="14"/>
          <w:szCs w:val="14"/>
        </w:rPr>
        <w:t>(за наявності)</w:t>
      </w:r>
      <w:r w:rsidR="008E451E">
        <w:rPr>
          <w:sz w:val="14"/>
          <w:szCs w:val="14"/>
        </w:rPr>
        <w:t xml:space="preserve"> </w:t>
      </w:r>
      <w:r>
        <w:rPr>
          <w:sz w:val="14"/>
          <w:szCs w:val="14"/>
        </w:rPr>
        <w:t>та номер паспорта зазначаються фізичними особами,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паспорті.</w:t>
      </w:r>
    </w:p>
    <w:p w:rsidR="004C6EED" w:rsidRDefault="00684CE2" w:rsidP="004C6EED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2  </w:t>
      </w:r>
      <w:r w:rsidR="004C6EED">
        <w:rPr>
          <w:sz w:val="14"/>
          <w:szCs w:val="14"/>
        </w:rPr>
        <w:t>Географічні координати (довгота/широта) відповідно до формату WGS-84.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91" w:rsidRDefault="00E8409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409" w:rsidRDefault="00043409">
    <w:pPr>
      <w:pBdr>
        <w:top w:val="nil"/>
        <w:left w:val="nil"/>
        <w:bottom w:val="nil"/>
        <w:right w:val="nil"/>
        <w:between w:val="nil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091" w:rsidRDefault="00E8409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78E3"/>
    <w:multiLevelType w:val="multilevel"/>
    <w:tmpl w:val="E9E8EB1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09"/>
    <w:rsid w:val="000029E2"/>
    <w:rsid w:val="00043409"/>
    <w:rsid w:val="000B3835"/>
    <w:rsid w:val="000E6DEA"/>
    <w:rsid w:val="0011581F"/>
    <w:rsid w:val="00115AB1"/>
    <w:rsid w:val="00133E54"/>
    <w:rsid w:val="00170144"/>
    <w:rsid w:val="001D4DDB"/>
    <w:rsid w:val="001F0E27"/>
    <w:rsid w:val="00220DFE"/>
    <w:rsid w:val="00236926"/>
    <w:rsid w:val="00257C2C"/>
    <w:rsid w:val="00270D42"/>
    <w:rsid w:val="003336F3"/>
    <w:rsid w:val="003962BD"/>
    <w:rsid w:val="003A64CE"/>
    <w:rsid w:val="0044599F"/>
    <w:rsid w:val="00474C87"/>
    <w:rsid w:val="004843ED"/>
    <w:rsid w:val="004C6EED"/>
    <w:rsid w:val="004F5EC1"/>
    <w:rsid w:val="0052100C"/>
    <w:rsid w:val="00544856"/>
    <w:rsid w:val="0057739E"/>
    <w:rsid w:val="00581188"/>
    <w:rsid w:val="005A1FB1"/>
    <w:rsid w:val="005D3B10"/>
    <w:rsid w:val="00665152"/>
    <w:rsid w:val="00684CE2"/>
    <w:rsid w:val="00697EC8"/>
    <w:rsid w:val="006D4E88"/>
    <w:rsid w:val="006E7B8F"/>
    <w:rsid w:val="006F27B0"/>
    <w:rsid w:val="00712F0D"/>
    <w:rsid w:val="00716161"/>
    <w:rsid w:val="00762643"/>
    <w:rsid w:val="007B2F18"/>
    <w:rsid w:val="007D301F"/>
    <w:rsid w:val="00836882"/>
    <w:rsid w:val="008C4B58"/>
    <w:rsid w:val="008E00F1"/>
    <w:rsid w:val="008E451E"/>
    <w:rsid w:val="009B2DC2"/>
    <w:rsid w:val="009B7ECD"/>
    <w:rsid w:val="009C54A8"/>
    <w:rsid w:val="00A21179"/>
    <w:rsid w:val="00A71B49"/>
    <w:rsid w:val="00A9373B"/>
    <w:rsid w:val="00B1492F"/>
    <w:rsid w:val="00B265D6"/>
    <w:rsid w:val="00BA074D"/>
    <w:rsid w:val="00BB6DF5"/>
    <w:rsid w:val="00C13588"/>
    <w:rsid w:val="00C40C78"/>
    <w:rsid w:val="00C6062D"/>
    <w:rsid w:val="00C75E19"/>
    <w:rsid w:val="00D766A1"/>
    <w:rsid w:val="00D816FC"/>
    <w:rsid w:val="00D84F45"/>
    <w:rsid w:val="00D90CA7"/>
    <w:rsid w:val="00D946DE"/>
    <w:rsid w:val="00DF11BE"/>
    <w:rsid w:val="00DF1595"/>
    <w:rsid w:val="00E14AE7"/>
    <w:rsid w:val="00E84091"/>
    <w:rsid w:val="00EC5BB0"/>
    <w:rsid w:val="00EE3287"/>
    <w:rsid w:val="00FE0D0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15929"/>
  <w15:docId w15:val="{74901C19-C417-4EE1-A507-1E8F8944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left="2124" w:hanging="2124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ind w:left="576" w:hanging="576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ind w:left="1008" w:hanging="1008"/>
      <w:jc w:val="center"/>
      <w:outlineLvl w:val="4"/>
    </w:pPr>
    <w:rPr>
      <w:b/>
      <w:i/>
      <w:color w:val="000000"/>
      <w:sz w:val="20"/>
      <w:szCs w:val="20"/>
    </w:rPr>
  </w:style>
  <w:style w:type="paragraph" w:styleId="6">
    <w:name w:val="heading 6"/>
    <w:basedOn w:val="a"/>
    <w:next w:val="a"/>
    <w:pPr>
      <w:keepNext/>
      <w:ind w:left="3544" w:firstLine="72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14" w:type="dxa"/>
        <w:bottom w:w="14" w:type="dxa"/>
        <w:right w:w="14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d">
    <w:name w:val="List Paragraph"/>
    <w:basedOn w:val="a"/>
    <w:uiPriority w:val="34"/>
    <w:qFormat/>
    <w:rsid w:val="00A71B4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A71B49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1B49"/>
  </w:style>
  <w:style w:type="paragraph" w:styleId="af0">
    <w:name w:val="footer"/>
    <w:basedOn w:val="a"/>
    <w:link w:val="af1"/>
    <w:uiPriority w:val="99"/>
    <w:unhideWhenUsed/>
    <w:rsid w:val="00A71B49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7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E2BE-B568-45F0-8CA8-9DA41529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Myrzakov</cp:lastModifiedBy>
  <cp:revision>23</cp:revision>
  <dcterms:created xsi:type="dcterms:W3CDTF">2022-10-24T19:01:00Z</dcterms:created>
  <dcterms:modified xsi:type="dcterms:W3CDTF">2022-10-27T08:41:00Z</dcterms:modified>
</cp:coreProperties>
</file>